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7" w:type="pct"/>
        <w:jc w:val="center"/>
        <w:tblLook w:val="04A0" w:firstRow="1" w:lastRow="0" w:firstColumn="1" w:lastColumn="0" w:noHBand="0" w:noVBand="1"/>
      </w:tblPr>
      <w:tblGrid>
        <w:gridCol w:w="9288"/>
      </w:tblGrid>
      <w:tr w:rsidR="00ED4A53" w:rsidTr="00F65068">
        <w:trPr>
          <w:trHeight w:val="1984"/>
          <w:jc w:val="center"/>
        </w:trPr>
        <w:tc>
          <w:tcPr>
            <w:tcW w:w="5000" w:type="pct"/>
            <w:tcBorders>
              <w:top w:val="single" w:sz="4" w:space="0" w:color="C0504D" w:themeColor="accent2"/>
              <w:left w:val="single" w:sz="4" w:space="0" w:color="C0504D" w:themeColor="accent2"/>
              <w:bottom w:val="single" w:sz="6" w:space="0" w:color="943634" w:themeColor="accent2" w:themeShade="BF"/>
              <w:right w:val="single" w:sz="4" w:space="0" w:color="C0504D" w:themeColor="accent2"/>
            </w:tcBorders>
          </w:tcPr>
          <w:p w:rsidR="00ED4A53" w:rsidRPr="00D4322A" w:rsidRDefault="00D4322A" w:rsidP="00D4322A">
            <w:r>
              <w:rPr>
                <w:noProof/>
              </w:rPr>
              <w:drawing>
                <wp:anchor distT="0" distB="0" distL="114300" distR="114300" simplePos="0" relativeHeight="251659264" behindDoc="0" locked="0" layoutInCell="1" allowOverlap="1" wp14:anchorId="1CD7D496" wp14:editId="1F033FAF">
                  <wp:simplePos x="0" y="0"/>
                  <wp:positionH relativeFrom="margin">
                    <wp:posOffset>4336415</wp:posOffset>
                  </wp:positionH>
                  <wp:positionV relativeFrom="margin">
                    <wp:posOffset>71120</wp:posOffset>
                  </wp:positionV>
                  <wp:extent cx="1396958" cy="1080000"/>
                  <wp:effectExtent l="0" t="0" r="0" b="6350"/>
                  <wp:wrapNone/>
                  <wp:docPr id="1" name="Picture 1" descr="small LSTM%203%20colour%20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STM%203%20colour%20positive.jpg"/>
                          <pic:cNvPicPr/>
                        </pic:nvPicPr>
                        <pic:blipFill>
                          <a:blip r:embed="rId8"/>
                          <a:stretch>
                            <a:fillRect/>
                          </a:stretch>
                        </pic:blipFill>
                        <pic:spPr>
                          <a:xfrm>
                            <a:off x="0" y="0"/>
                            <a:ext cx="1396958" cy="1080000"/>
                          </a:xfrm>
                          <a:prstGeom prst="rect">
                            <a:avLst/>
                          </a:prstGeom>
                        </pic:spPr>
                      </pic:pic>
                    </a:graphicData>
                  </a:graphic>
                  <wp14:sizeRelH relativeFrom="margin">
                    <wp14:pctWidth>0</wp14:pctWidth>
                  </wp14:sizeRelH>
                  <wp14:sizeRelV relativeFrom="margin">
                    <wp14:pctHeight>0</wp14:pctHeight>
                  </wp14:sizeRelV>
                </wp:anchor>
              </w:drawing>
            </w:r>
            <w:r w:rsidR="00C001F3">
              <w:tab/>
            </w:r>
          </w:p>
        </w:tc>
      </w:tr>
      <w:tr w:rsidR="00ED4A53" w:rsidTr="00D4322A">
        <w:trPr>
          <w:trHeight w:val="1701"/>
          <w:jc w:val="center"/>
        </w:trPr>
        <w:tc>
          <w:tcPr>
            <w:tcW w:w="5000" w:type="pct"/>
            <w:tcBorders>
              <w:top w:val="single" w:sz="6" w:space="0" w:color="943634" w:themeColor="accent2" w:themeShade="BF"/>
              <w:bottom w:val="single" w:sz="4" w:space="0" w:color="C0504D" w:themeColor="accent2"/>
            </w:tcBorders>
            <w:vAlign w:val="center"/>
          </w:tcPr>
          <w:p w:rsidR="00ED4A53" w:rsidRPr="00003DFF" w:rsidRDefault="00C659A9" w:rsidP="002D3179">
            <w:pPr>
              <w:pStyle w:val="NoSpacing"/>
              <w:spacing w:before="240" w:after="240"/>
              <w:rPr>
                <w:rFonts w:ascii="Arial" w:eastAsia="Times New Roman" w:hAnsi="Arial" w:cs="Arial"/>
                <w:sz w:val="64"/>
                <w:szCs w:val="64"/>
              </w:rPr>
            </w:pPr>
            <w:r w:rsidRPr="00003DFF">
              <w:rPr>
                <w:rFonts w:ascii="Arial" w:eastAsia="Times New Roman" w:hAnsi="Arial" w:cs="Arial"/>
                <w:b/>
                <w:sz w:val="64"/>
                <w:szCs w:val="64"/>
              </w:rPr>
              <w:t xml:space="preserve">Code of Practice on </w:t>
            </w:r>
            <w:r w:rsidR="00ED4A53" w:rsidRPr="00003DFF">
              <w:rPr>
                <w:rFonts w:ascii="Arial" w:eastAsia="Times New Roman" w:hAnsi="Arial" w:cs="Arial"/>
                <w:b/>
                <w:sz w:val="64"/>
                <w:szCs w:val="64"/>
              </w:rPr>
              <w:t>Admissions</w:t>
            </w:r>
          </w:p>
        </w:tc>
      </w:tr>
      <w:tr w:rsidR="00ED4A53" w:rsidTr="00D4322A">
        <w:trPr>
          <w:trHeight w:val="1134"/>
          <w:jc w:val="center"/>
        </w:trPr>
        <w:tc>
          <w:tcPr>
            <w:tcW w:w="5000" w:type="pct"/>
            <w:tcBorders>
              <w:top w:val="single" w:sz="4" w:space="0" w:color="C0504D" w:themeColor="accent2"/>
              <w:bottom w:val="single" w:sz="6" w:space="0" w:color="943634" w:themeColor="accent2" w:themeShade="BF"/>
            </w:tcBorders>
            <w:vAlign w:val="center"/>
          </w:tcPr>
          <w:p w:rsidR="00ED4A53" w:rsidRPr="00D615B9" w:rsidRDefault="00ED4A53" w:rsidP="00D4322A">
            <w:pPr>
              <w:pStyle w:val="NoSpacing"/>
              <w:spacing w:before="240" w:after="240"/>
              <w:rPr>
                <w:rFonts w:ascii="Arial" w:eastAsia="Times New Roman" w:hAnsi="Arial" w:cs="Arial"/>
                <w:b/>
                <w:sz w:val="44"/>
                <w:szCs w:val="44"/>
              </w:rPr>
            </w:pPr>
          </w:p>
        </w:tc>
      </w:tr>
      <w:tr w:rsidR="00ED4A53" w:rsidTr="00A636A4">
        <w:trPr>
          <w:trHeight w:val="3596"/>
          <w:jc w:val="center"/>
        </w:trPr>
        <w:tc>
          <w:tcPr>
            <w:tcW w:w="5000" w:type="pct"/>
            <w:tcBorders>
              <w:top w:val="single" w:sz="6" w:space="0" w:color="943634" w:themeColor="accent2" w:themeShade="BF"/>
              <w:bottom w:val="single" w:sz="6" w:space="0" w:color="943634" w:themeColor="accent2" w:themeShade="BF"/>
            </w:tcBorders>
            <w:vAlign w:val="center"/>
          </w:tcPr>
          <w:tbl>
            <w:tblPr>
              <w:tblpPr w:leftFromText="181" w:rightFromText="181" w:horzAnchor="margin" w:tblpXSpec="center" w:tblpYSpec="bottom"/>
              <w:tblOverlap w:val="never"/>
              <w:tblW w:w="497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03"/>
              <w:gridCol w:w="5021"/>
            </w:tblGrid>
            <w:tr w:rsidR="00853D2A" w:rsidRPr="004C4556" w:rsidTr="00B0193D">
              <w:trPr>
                <w:trHeight w:val="397"/>
              </w:trPr>
              <w:tc>
                <w:tcPr>
                  <w:tcW w:w="2218" w:type="pct"/>
                  <w:vAlign w:val="center"/>
                  <w:hideMark/>
                </w:tcPr>
                <w:p w:rsidR="00853D2A" w:rsidRPr="00A636A4" w:rsidRDefault="00853D2A" w:rsidP="00853D2A">
                  <w:pPr>
                    <w:pStyle w:val="NoSpacing"/>
                    <w:spacing w:before="120" w:after="120"/>
                    <w:rPr>
                      <w:rFonts w:ascii="Arial" w:hAnsi="Arial" w:cs="Arial"/>
                      <w:b/>
                    </w:rPr>
                  </w:pPr>
                  <w:r w:rsidRPr="00A636A4">
                    <w:rPr>
                      <w:rFonts w:ascii="Arial" w:hAnsi="Arial" w:cs="Arial"/>
                      <w:b/>
                    </w:rPr>
                    <w:t>Code of Practice number</w:t>
                  </w:r>
                </w:p>
              </w:tc>
              <w:tc>
                <w:tcPr>
                  <w:tcW w:w="2782" w:type="pct"/>
                  <w:vAlign w:val="center"/>
                  <w:hideMark/>
                </w:tcPr>
                <w:p w:rsidR="00853D2A" w:rsidRPr="00A636A4" w:rsidRDefault="00B0193D" w:rsidP="00853D2A">
                  <w:pPr>
                    <w:pStyle w:val="NoSpacing"/>
                    <w:spacing w:before="120" w:after="120"/>
                    <w:rPr>
                      <w:rFonts w:ascii="Arial" w:hAnsi="Arial" w:cs="Arial"/>
                    </w:rPr>
                  </w:pPr>
                  <w:r>
                    <w:rPr>
                      <w:rFonts w:ascii="Arial" w:hAnsi="Arial" w:cs="Arial"/>
                    </w:rPr>
                    <w:t>LT COP 01</w:t>
                  </w:r>
                </w:p>
              </w:tc>
            </w:tr>
            <w:tr w:rsidR="00853D2A" w:rsidRPr="004C4556" w:rsidTr="00B0193D">
              <w:trPr>
                <w:trHeight w:val="397"/>
              </w:trPr>
              <w:tc>
                <w:tcPr>
                  <w:tcW w:w="2218" w:type="pct"/>
                  <w:vAlign w:val="center"/>
                </w:tcPr>
                <w:p w:rsidR="00853D2A" w:rsidRPr="00A636A4" w:rsidRDefault="00853D2A" w:rsidP="00853D2A">
                  <w:pPr>
                    <w:pStyle w:val="NoSpacing"/>
                    <w:spacing w:before="120" w:after="120"/>
                    <w:rPr>
                      <w:rFonts w:ascii="Arial" w:hAnsi="Arial" w:cs="Arial"/>
                      <w:b/>
                    </w:rPr>
                  </w:pPr>
                  <w:r w:rsidRPr="00A636A4">
                    <w:rPr>
                      <w:rFonts w:ascii="Arial" w:hAnsi="Arial" w:cs="Arial"/>
                      <w:b/>
                    </w:rPr>
                    <w:t>Version:</w:t>
                  </w:r>
                </w:p>
              </w:tc>
              <w:tc>
                <w:tcPr>
                  <w:tcW w:w="2782" w:type="pct"/>
                  <w:vAlign w:val="center"/>
                </w:tcPr>
                <w:p w:rsidR="00853D2A" w:rsidRPr="00A636A4" w:rsidRDefault="005571E4" w:rsidP="002D4099">
                  <w:pPr>
                    <w:pStyle w:val="NoSpacing"/>
                    <w:spacing w:before="120" w:after="120"/>
                    <w:rPr>
                      <w:rFonts w:ascii="Arial" w:hAnsi="Arial" w:cs="Arial"/>
                    </w:rPr>
                  </w:pPr>
                  <w:r>
                    <w:rPr>
                      <w:rFonts w:ascii="Arial" w:hAnsi="Arial" w:cs="Arial"/>
                    </w:rPr>
                    <w:t>2.1</w:t>
                  </w:r>
                </w:p>
              </w:tc>
            </w:tr>
            <w:tr w:rsidR="00853D2A" w:rsidRPr="004C4556" w:rsidTr="00B0193D">
              <w:trPr>
                <w:trHeight w:val="397"/>
              </w:trPr>
              <w:tc>
                <w:tcPr>
                  <w:tcW w:w="2218" w:type="pct"/>
                  <w:vAlign w:val="center"/>
                </w:tcPr>
                <w:p w:rsidR="00853D2A" w:rsidRPr="00A636A4" w:rsidRDefault="00853D2A" w:rsidP="00853D2A">
                  <w:pPr>
                    <w:pStyle w:val="NoSpacing"/>
                    <w:spacing w:before="120" w:after="120"/>
                    <w:rPr>
                      <w:rFonts w:ascii="Arial" w:hAnsi="Arial" w:cs="Arial"/>
                      <w:b/>
                    </w:rPr>
                  </w:pPr>
                  <w:r w:rsidRPr="00A636A4">
                    <w:rPr>
                      <w:rFonts w:ascii="Arial" w:hAnsi="Arial" w:cs="Arial"/>
                      <w:b/>
                      <w:bCs/>
                      <w:lang w:eastAsia="en-GB"/>
                    </w:rPr>
                    <w:t>Superseded Version:</w:t>
                  </w:r>
                </w:p>
              </w:tc>
              <w:tc>
                <w:tcPr>
                  <w:tcW w:w="2782" w:type="pct"/>
                  <w:vAlign w:val="center"/>
                </w:tcPr>
                <w:p w:rsidR="00853D2A" w:rsidRPr="00A636A4" w:rsidRDefault="005571E4" w:rsidP="000631E0">
                  <w:pPr>
                    <w:pStyle w:val="NoSpacing"/>
                    <w:spacing w:before="120" w:after="120"/>
                    <w:rPr>
                      <w:rFonts w:ascii="Arial" w:hAnsi="Arial" w:cs="Arial"/>
                    </w:rPr>
                  </w:pPr>
                  <w:r>
                    <w:rPr>
                      <w:rFonts w:ascii="Arial" w:hAnsi="Arial" w:cs="Arial"/>
                    </w:rPr>
                    <w:t>2.0</w:t>
                  </w:r>
                </w:p>
              </w:tc>
            </w:tr>
            <w:tr w:rsidR="00853D2A" w:rsidRPr="004C4556" w:rsidTr="00B0193D">
              <w:trPr>
                <w:trHeight w:val="397"/>
              </w:trPr>
              <w:tc>
                <w:tcPr>
                  <w:tcW w:w="2218" w:type="pct"/>
                  <w:vAlign w:val="center"/>
                </w:tcPr>
                <w:p w:rsidR="00853D2A" w:rsidRPr="00A636A4" w:rsidRDefault="00853D2A" w:rsidP="00853D2A">
                  <w:pPr>
                    <w:pStyle w:val="NoSpacing"/>
                    <w:spacing w:before="120" w:after="120"/>
                    <w:rPr>
                      <w:rFonts w:ascii="Arial" w:hAnsi="Arial" w:cs="Arial"/>
                      <w:b/>
                    </w:rPr>
                  </w:pPr>
                  <w:r w:rsidRPr="00A636A4">
                    <w:rPr>
                      <w:rFonts w:ascii="Arial" w:hAnsi="Arial" w:cs="Arial"/>
                      <w:b/>
                    </w:rPr>
                    <w:t>Date approved by Management Committee</w:t>
                  </w:r>
                </w:p>
              </w:tc>
              <w:tc>
                <w:tcPr>
                  <w:tcW w:w="2782" w:type="pct"/>
                  <w:vAlign w:val="center"/>
                </w:tcPr>
                <w:p w:rsidR="00853D2A" w:rsidRPr="00A636A4" w:rsidRDefault="00B0193D" w:rsidP="00AE4ED4">
                  <w:pPr>
                    <w:pStyle w:val="NoSpacing"/>
                    <w:spacing w:before="120" w:after="120"/>
                    <w:rPr>
                      <w:rFonts w:ascii="Arial" w:hAnsi="Arial" w:cs="Arial"/>
                    </w:rPr>
                  </w:pPr>
                  <w:r>
                    <w:rPr>
                      <w:rFonts w:ascii="Arial" w:hAnsi="Arial" w:cs="Arial"/>
                    </w:rPr>
                    <w:t xml:space="preserve">V 1.0 approved </w:t>
                  </w:r>
                  <w:r w:rsidR="00AE4ED4">
                    <w:rPr>
                      <w:rFonts w:ascii="Arial" w:hAnsi="Arial" w:cs="Arial"/>
                    </w:rPr>
                    <w:t>29.01</w:t>
                  </w:r>
                  <w:r>
                    <w:rPr>
                      <w:rFonts w:ascii="Arial" w:hAnsi="Arial" w:cs="Arial"/>
                    </w:rPr>
                    <w:t>.15</w:t>
                  </w:r>
                </w:p>
              </w:tc>
            </w:tr>
            <w:tr w:rsidR="00853D2A" w:rsidRPr="004C4556" w:rsidTr="00B0193D">
              <w:trPr>
                <w:trHeight w:val="397"/>
              </w:trPr>
              <w:tc>
                <w:tcPr>
                  <w:tcW w:w="2218" w:type="pct"/>
                  <w:vAlign w:val="center"/>
                </w:tcPr>
                <w:p w:rsidR="00853D2A" w:rsidRPr="00A636A4" w:rsidRDefault="00853D2A" w:rsidP="00853D2A">
                  <w:pPr>
                    <w:pStyle w:val="NoSpacing"/>
                    <w:spacing w:before="120" w:after="120"/>
                    <w:rPr>
                      <w:rFonts w:ascii="Arial" w:hAnsi="Arial" w:cs="Arial"/>
                      <w:b/>
                      <w:bCs/>
                      <w:lang w:eastAsia="en-GB"/>
                    </w:rPr>
                  </w:pPr>
                  <w:r w:rsidRPr="00A636A4">
                    <w:rPr>
                      <w:rFonts w:ascii="Arial" w:hAnsi="Arial" w:cs="Arial"/>
                      <w:b/>
                      <w:bCs/>
                      <w:lang w:eastAsia="en-GB"/>
                    </w:rPr>
                    <w:t>Originator</w:t>
                  </w:r>
                </w:p>
              </w:tc>
              <w:tc>
                <w:tcPr>
                  <w:tcW w:w="2782" w:type="pct"/>
                  <w:vAlign w:val="center"/>
                </w:tcPr>
                <w:p w:rsidR="00853D2A" w:rsidRPr="00A636A4" w:rsidRDefault="00853D2A" w:rsidP="00853D2A">
                  <w:pPr>
                    <w:pStyle w:val="NoSpacing"/>
                    <w:spacing w:before="120" w:after="120"/>
                    <w:rPr>
                      <w:rFonts w:ascii="Arial" w:hAnsi="Arial" w:cs="Arial"/>
                    </w:rPr>
                  </w:pPr>
                  <w:r w:rsidRPr="00A636A4">
                    <w:rPr>
                      <w:rFonts w:ascii="Arial" w:hAnsi="Arial" w:cs="Arial"/>
                    </w:rPr>
                    <w:t>Academic Registrar</w:t>
                  </w:r>
                </w:p>
              </w:tc>
            </w:tr>
            <w:tr w:rsidR="00853D2A" w:rsidRPr="004C4556" w:rsidTr="00B0193D">
              <w:trPr>
                <w:trHeight w:val="397"/>
              </w:trPr>
              <w:tc>
                <w:tcPr>
                  <w:tcW w:w="2218" w:type="pct"/>
                  <w:vAlign w:val="center"/>
                </w:tcPr>
                <w:p w:rsidR="00853D2A" w:rsidRPr="00A636A4" w:rsidRDefault="00853D2A" w:rsidP="00853D2A">
                  <w:pPr>
                    <w:pStyle w:val="NoSpacing"/>
                    <w:spacing w:before="120" w:after="120"/>
                    <w:rPr>
                      <w:rFonts w:ascii="Arial" w:hAnsi="Arial" w:cs="Arial"/>
                      <w:b/>
                    </w:rPr>
                  </w:pPr>
                  <w:r w:rsidRPr="00A636A4">
                    <w:rPr>
                      <w:rFonts w:ascii="Arial" w:hAnsi="Arial" w:cs="Arial"/>
                      <w:b/>
                    </w:rPr>
                    <w:t>Date for Review:</w:t>
                  </w:r>
                </w:p>
              </w:tc>
              <w:tc>
                <w:tcPr>
                  <w:tcW w:w="2782" w:type="pct"/>
                  <w:vAlign w:val="center"/>
                </w:tcPr>
                <w:p w:rsidR="00853D2A" w:rsidRPr="00A636A4" w:rsidRDefault="00B0193D" w:rsidP="000631E0">
                  <w:pPr>
                    <w:pStyle w:val="NoSpacing"/>
                    <w:spacing w:before="120" w:after="120"/>
                    <w:rPr>
                      <w:rFonts w:ascii="Arial" w:hAnsi="Arial" w:cs="Arial"/>
                    </w:rPr>
                  </w:pPr>
                  <w:r>
                    <w:rPr>
                      <w:rFonts w:ascii="Arial" w:hAnsi="Arial" w:cs="Arial"/>
                    </w:rPr>
                    <w:t>J</w:t>
                  </w:r>
                  <w:r w:rsidR="00B73A04">
                    <w:rPr>
                      <w:rFonts w:ascii="Arial" w:hAnsi="Arial" w:cs="Arial"/>
                    </w:rPr>
                    <w:t>uly</w:t>
                  </w:r>
                  <w:r>
                    <w:rPr>
                      <w:rFonts w:ascii="Arial" w:hAnsi="Arial" w:cs="Arial"/>
                    </w:rPr>
                    <w:t xml:space="preserve"> 201</w:t>
                  </w:r>
                  <w:r w:rsidR="005571E4">
                    <w:rPr>
                      <w:rFonts w:ascii="Arial" w:hAnsi="Arial" w:cs="Arial"/>
                    </w:rPr>
                    <w:t>9</w:t>
                  </w:r>
                </w:p>
              </w:tc>
            </w:tr>
          </w:tbl>
          <w:p w:rsidR="00A636A4" w:rsidRPr="004C4556" w:rsidRDefault="00A636A4" w:rsidP="00A636A4">
            <w:pPr>
              <w:pStyle w:val="NoSpacing"/>
              <w:ind w:right="-166"/>
              <w:rPr>
                <w:rFonts w:ascii="Arial" w:hAnsi="Arial" w:cs="Arial"/>
                <w:b/>
                <w:bCs/>
              </w:rPr>
            </w:pPr>
          </w:p>
        </w:tc>
      </w:tr>
      <w:tr w:rsidR="00A636A4" w:rsidTr="00A636A4">
        <w:trPr>
          <w:trHeight w:val="2957"/>
          <w:jc w:val="center"/>
        </w:trPr>
        <w:tc>
          <w:tcPr>
            <w:tcW w:w="5000" w:type="pct"/>
            <w:tcBorders>
              <w:top w:val="single" w:sz="6" w:space="0" w:color="943634" w:themeColor="accent2" w:themeShade="BF"/>
              <w:bottom w:val="single" w:sz="6" w:space="0" w:color="943634" w:themeColor="accent2" w:themeShade="BF"/>
            </w:tcBorders>
            <w:vAlign w:val="center"/>
          </w:tcPr>
          <w:tbl>
            <w:tblPr>
              <w:tblpPr w:leftFromText="181" w:rightFromText="181" w:vertAnchor="page" w:horzAnchor="margin" w:tblpY="181"/>
              <w:tblOverlap w:val="never"/>
              <w:tblW w:w="4979" w:type="pct"/>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4003"/>
              <w:gridCol w:w="5021"/>
            </w:tblGrid>
            <w:tr w:rsidR="00A636A4" w:rsidRPr="00805611" w:rsidTr="00AC1DBA">
              <w:trPr>
                <w:trHeight w:val="397"/>
              </w:trPr>
              <w:tc>
                <w:tcPr>
                  <w:tcW w:w="5000" w:type="pct"/>
                  <w:gridSpan w:val="2"/>
                  <w:shd w:val="clear" w:color="auto" w:fill="E5B8B7" w:themeFill="accent2" w:themeFillTint="66"/>
                  <w:vAlign w:val="center"/>
                  <w:hideMark/>
                </w:tcPr>
                <w:p w:rsidR="00A636A4" w:rsidRPr="00805611" w:rsidRDefault="00A636A4" w:rsidP="00A636A4">
                  <w:pPr>
                    <w:pStyle w:val="NoSpacing"/>
                    <w:spacing w:before="120" w:after="120"/>
                    <w:rPr>
                      <w:rFonts w:ascii="Arial" w:hAnsi="Arial" w:cs="Arial"/>
                      <w:b/>
                      <w:sz w:val="24"/>
                      <w:szCs w:val="24"/>
                    </w:rPr>
                  </w:pPr>
                  <w:r w:rsidRPr="00805611">
                    <w:rPr>
                      <w:rFonts w:ascii="Arial" w:hAnsi="Arial" w:cs="Arial"/>
                      <w:b/>
                      <w:sz w:val="24"/>
                      <w:szCs w:val="24"/>
                    </w:rPr>
                    <w:t>Target Audience</w:t>
                  </w:r>
                </w:p>
              </w:tc>
            </w:tr>
            <w:tr w:rsidR="00A636A4" w:rsidRPr="00805611" w:rsidTr="00B0193D">
              <w:trPr>
                <w:trHeight w:val="397"/>
              </w:trPr>
              <w:tc>
                <w:tcPr>
                  <w:tcW w:w="2218" w:type="pct"/>
                  <w:vAlign w:val="center"/>
                </w:tcPr>
                <w:p w:rsidR="00A636A4" w:rsidRPr="00805611" w:rsidRDefault="00A636A4" w:rsidP="00A636A4">
                  <w:pPr>
                    <w:pStyle w:val="NoSpacing"/>
                    <w:spacing w:before="120" w:after="120"/>
                    <w:rPr>
                      <w:rFonts w:ascii="Arial" w:hAnsi="Arial" w:cs="Arial"/>
                    </w:rPr>
                  </w:pPr>
                  <w:r w:rsidRPr="00805611">
                    <w:rPr>
                      <w:rFonts w:ascii="Arial" w:hAnsi="Arial" w:cs="Arial"/>
                    </w:rPr>
                    <w:t xml:space="preserve">People who need </w:t>
                  </w:r>
                  <w:r>
                    <w:rPr>
                      <w:rFonts w:ascii="Arial" w:hAnsi="Arial" w:cs="Arial"/>
                    </w:rPr>
                    <w:t>a detailed knowledge of the Co</w:t>
                  </w:r>
                  <w:r w:rsidR="00B0193D">
                    <w:rPr>
                      <w:rFonts w:ascii="Arial" w:hAnsi="Arial" w:cs="Arial"/>
                    </w:rPr>
                    <w:t xml:space="preserve">de of </w:t>
                  </w:r>
                  <w:r>
                    <w:rPr>
                      <w:rFonts w:ascii="Arial" w:hAnsi="Arial" w:cs="Arial"/>
                    </w:rPr>
                    <w:t>P</w:t>
                  </w:r>
                  <w:r w:rsidR="00B0193D">
                    <w:rPr>
                      <w:rFonts w:ascii="Arial" w:hAnsi="Arial" w:cs="Arial"/>
                    </w:rPr>
                    <w:t>ractice</w:t>
                  </w:r>
                </w:p>
              </w:tc>
              <w:tc>
                <w:tcPr>
                  <w:tcW w:w="2782" w:type="pct"/>
                  <w:vAlign w:val="center"/>
                </w:tcPr>
                <w:p w:rsidR="00A636A4" w:rsidRPr="00805611" w:rsidRDefault="00A95C61" w:rsidP="0040293D">
                  <w:pPr>
                    <w:pStyle w:val="CoPNumberlevel1"/>
                    <w:numPr>
                      <w:ilvl w:val="0"/>
                      <w:numId w:val="0"/>
                    </w:numPr>
                    <w:ind w:left="34" w:hanging="34"/>
                  </w:pPr>
                  <w:r w:rsidRPr="00A96C21">
                    <w:t>D</w:t>
                  </w:r>
                  <w:r w:rsidR="00517F06">
                    <w:t>ean</w:t>
                  </w:r>
                  <w:r w:rsidRPr="00A96C21">
                    <w:t xml:space="preserve"> of Education</w:t>
                  </w:r>
                  <w:r w:rsidR="00B0193D">
                    <w:t xml:space="preserve">; </w:t>
                  </w:r>
                  <w:r w:rsidR="003D2EF2">
                    <w:t xml:space="preserve">Director of International Education, </w:t>
                  </w:r>
                  <w:r w:rsidRPr="00A96C21">
                    <w:t>Academic Registra</w:t>
                  </w:r>
                  <w:r w:rsidR="00BD1D0F">
                    <w:t xml:space="preserve">r; </w:t>
                  </w:r>
                  <w:r w:rsidR="005571E4">
                    <w:t xml:space="preserve">Admissions and Recruitment Manager, Admissions </w:t>
                  </w:r>
                  <w:r w:rsidR="003C5F07">
                    <w:t>Office</w:t>
                  </w:r>
                  <w:r w:rsidR="00B0193D">
                    <w:t xml:space="preserve">rs; </w:t>
                  </w:r>
                  <w:r w:rsidR="005571E4">
                    <w:t xml:space="preserve">PGR Administrators, </w:t>
                  </w:r>
                  <w:r w:rsidR="00E52893">
                    <w:t>Directors of Studies</w:t>
                  </w:r>
                  <w:r w:rsidR="00B0193D">
                    <w:t>; Student Experience Officer</w:t>
                  </w:r>
                </w:p>
              </w:tc>
            </w:tr>
            <w:tr w:rsidR="00A636A4" w:rsidRPr="00805611" w:rsidTr="00B0193D">
              <w:trPr>
                <w:trHeight w:val="397"/>
              </w:trPr>
              <w:tc>
                <w:tcPr>
                  <w:tcW w:w="2218" w:type="pct"/>
                  <w:vAlign w:val="center"/>
                </w:tcPr>
                <w:p w:rsidR="00A636A4" w:rsidRPr="00805611" w:rsidRDefault="00A636A4" w:rsidP="00A636A4">
                  <w:pPr>
                    <w:pStyle w:val="NoSpacing"/>
                    <w:spacing w:before="120" w:after="120"/>
                    <w:rPr>
                      <w:rFonts w:ascii="Arial" w:hAnsi="Arial" w:cs="Arial"/>
                    </w:rPr>
                  </w:pPr>
                  <w:r w:rsidRPr="00805611">
                    <w:rPr>
                      <w:rFonts w:ascii="Arial" w:hAnsi="Arial" w:cs="Arial"/>
                    </w:rPr>
                    <w:t xml:space="preserve">People who need a broad understanding of </w:t>
                  </w:r>
                  <w:r>
                    <w:rPr>
                      <w:rFonts w:ascii="Arial" w:hAnsi="Arial" w:cs="Arial"/>
                    </w:rPr>
                    <w:t xml:space="preserve">the </w:t>
                  </w:r>
                  <w:r w:rsidR="00B0193D">
                    <w:rPr>
                      <w:rFonts w:ascii="Arial" w:hAnsi="Arial" w:cs="Arial"/>
                    </w:rPr>
                    <w:t>Code of Practice</w:t>
                  </w:r>
                </w:p>
              </w:tc>
              <w:tc>
                <w:tcPr>
                  <w:tcW w:w="2782" w:type="pct"/>
                  <w:vAlign w:val="center"/>
                </w:tcPr>
                <w:p w:rsidR="00A636A4" w:rsidRPr="00805611" w:rsidRDefault="00B0193D" w:rsidP="00B0193D">
                  <w:pPr>
                    <w:pStyle w:val="NoSpacing"/>
                    <w:spacing w:before="120" w:after="120"/>
                    <w:rPr>
                      <w:rFonts w:ascii="Arial" w:hAnsi="Arial" w:cs="Arial"/>
                    </w:rPr>
                  </w:pPr>
                  <w:r>
                    <w:rPr>
                      <w:rFonts w:ascii="Arial" w:hAnsi="Arial" w:cs="Arial"/>
                    </w:rPr>
                    <w:t>Management Committee; Students</w:t>
                  </w:r>
                </w:p>
              </w:tc>
            </w:tr>
            <w:tr w:rsidR="00A636A4" w:rsidRPr="00805611" w:rsidTr="00B0193D">
              <w:trPr>
                <w:trHeight w:val="397"/>
              </w:trPr>
              <w:tc>
                <w:tcPr>
                  <w:tcW w:w="2218" w:type="pct"/>
                  <w:vAlign w:val="center"/>
                </w:tcPr>
                <w:p w:rsidR="00A636A4" w:rsidRPr="00805611" w:rsidRDefault="00A636A4" w:rsidP="00A636A4">
                  <w:pPr>
                    <w:pStyle w:val="NoSpacing"/>
                    <w:spacing w:before="120" w:after="120"/>
                    <w:rPr>
                      <w:rFonts w:ascii="Arial" w:hAnsi="Arial" w:cs="Arial"/>
                    </w:rPr>
                  </w:pPr>
                  <w:r w:rsidRPr="00805611">
                    <w:rPr>
                      <w:rFonts w:ascii="Arial" w:hAnsi="Arial" w:cs="Arial"/>
                    </w:rPr>
                    <w:t xml:space="preserve">People who need to know that </w:t>
                  </w:r>
                  <w:r>
                    <w:rPr>
                      <w:rFonts w:ascii="Arial" w:hAnsi="Arial" w:cs="Arial"/>
                    </w:rPr>
                    <w:t xml:space="preserve">the </w:t>
                  </w:r>
                  <w:r w:rsidR="00B0193D">
                    <w:rPr>
                      <w:rFonts w:ascii="Arial" w:hAnsi="Arial" w:cs="Arial"/>
                    </w:rPr>
                    <w:t>Code of Practice</w:t>
                  </w:r>
                  <w:r>
                    <w:rPr>
                      <w:rFonts w:ascii="Arial" w:hAnsi="Arial" w:cs="Arial"/>
                    </w:rPr>
                    <w:t xml:space="preserve"> </w:t>
                  </w:r>
                  <w:r w:rsidRPr="00805611">
                    <w:rPr>
                      <w:rFonts w:ascii="Arial" w:hAnsi="Arial" w:cs="Arial"/>
                    </w:rPr>
                    <w:t>exists</w:t>
                  </w:r>
                </w:p>
              </w:tc>
              <w:tc>
                <w:tcPr>
                  <w:tcW w:w="2782" w:type="pct"/>
                  <w:vAlign w:val="center"/>
                </w:tcPr>
                <w:p w:rsidR="00A636A4" w:rsidRPr="00805611" w:rsidRDefault="00B0193D" w:rsidP="00A636A4">
                  <w:pPr>
                    <w:pStyle w:val="NoSpacing"/>
                    <w:spacing w:before="120" w:after="120"/>
                    <w:rPr>
                      <w:rFonts w:ascii="Arial" w:hAnsi="Arial" w:cs="Arial"/>
                    </w:rPr>
                  </w:pPr>
                  <w:r>
                    <w:rPr>
                      <w:rFonts w:ascii="Arial" w:hAnsi="Arial" w:cs="Arial"/>
                    </w:rPr>
                    <w:t>All a</w:t>
                  </w:r>
                  <w:r w:rsidR="007C006F">
                    <w:rPr>
                      <w:rFonts w:ascii="Arial" w:hAnsi="Arial" w:cs="Arial"/>
                    </w:rPr>
                    <w:t>cademic staff</w:t>
                  </w:r>
                </w:p>
              </w:tc>
            </w:tr>
          </w:tbl>
          <w:p w:rsidR="00A636A4" w:rsidRPr="00853D2A" w:rsidRDefault="00A636A4" w:rsidP="00853D2A">
            <w:pPr>
              <w:pStyle w:val="NoSpacing"/>
              <w:spacing w:before="120" w:after="120"/>
              <w:rPr>
                <w:rFonts w:ascii="Arial" w:hAnsi="Arial" w:cs="Arial"/>
                <w:b/>
                <w:sz w:val="24"/>
                <w:szCs w:val="24"/>
              </w:rPr>
            </w:pPr>
          </w:p>
        </w:tc>
      </w:tr>
    </w:tbl>
    <w:p w:rsidR="00876075" w:rsidRPr="00876075" w:rsidRDefault="00ED4A53" w:rsidP="00E21955">
      <w:pPr>
        <w:pStyle w:val="HeadingListStyle"/>
        <w:keepNext/>
        <w:numPr>
          <w:ilvl w:val="0"/>
          <w:numId w:val="0"/>
        </w:numPr>
        <w:pBdr>
          <w:top w:val="single" w:sz="4" w:space="9" w:color="943634" w:themeColor="accent2" w:themeShade="BF"/>
          <w:bottom w:val="single" w:sz="4" w:space="9" w:color="943634" w:themeColor="accent2" w:themeShade="BF"/>
        </w:pBdr>
        <w:spacing w:before="360" w:line="276" w:lineRule="auto"/>
        <w:contextualSpacing w:val="0"/>
        <w:rPr>
          <w:color w:val="943634" w:themeColor="accent2" w:themeShade="BF"/>
          <w:sz w:val="32"/>
          <w:szCs w:val="32"/>
          <w:u w:val="none"/>
        </w:rPr>
      </w:pPr>
      <w:r>
        <w:br w:type="page"/>
      </w:r>
      <w:r w:rsidRPr="00876075">
        <w:rPr>
          <w:color w:val="943634" w:themeColor="accent2" w:themeShade="BF"/>
          <w:sz w:val="32"/>
          <w:szCs w:val="32"/>
          <w:u w:val="none"/>
        </w:rPr>
        <w:lastRenderedPageBreak/>
        <w:t>Contents</w:t>
      </w:r>
    </w:p>
    <w:p w:rsidR="00AE4ED4" w:rsidRDefault="00876075">
      <w:pPr>
        <w:pStyle w:val="TOC1"/>
        <w:rPr>
          <w:rFonts w:asciiTheme="minorHAnsi" w:hAnsiTheme="minorHAnsi" w:cstheme="minorBidi"/>
          <w:bCs w:val="0"/>
          <w:sz w:val="22"/>
          <w:szCs w:val="22"/>
        </w:rPr>
      </w:pPr>
      <w:r w:rsidRPr="00846FB2">
        <w:rPr>
          <w:color w:val="943634" w:themeColor="accent2" w:themeShade="BF"/>
        </w:rPr>
        <w:fldChar w:fldCharType="begin"/>
      </w:r>
      <w:r w:rsidRPr="00846FB2">
        <w:rPr>
          <w:color w:val="943634" w:themeColor="accent2" w:themeShade="BF"/>
        </w:rPr>
        <w:instrText xml:space="preserve"> TOC \p " " \h \z \t "CoP border heading,1" </w:instrText>
      </w:r>
      <w:r w:rsidRPr="00846FB2">
        <w:rPr>
          <w:color w:val="943634" w:themeColor="accent2" w:themeShade="BF"/>
        </w:rPr>
        <w:fldChar w:fldCharType="separate"/>
      </w:r>
      <w:hyperlink w:anchor="_Toc416683523" w:history="1">
        <w:r w:rsidR="00AE4ED4" w:rsidRPr="009E5CB7">
          <w:rPr>
            <w:rStyle w:val="Hyperlink"/>
          </w:rPr>
          <w:t>1</w:t>
        </w:r>
        <w:r w:rsidR="00AE4ED4">
          <w:rPr>
            <w:rFonts w:asciiTheme="minorHAnsi" w:hAnsiTheme="minorHAnsi" w:cstheme="minorBidi"/>
            <w:bCs w:val="0"/>
            <w:sz w:val="22"/>
            <w:szCs w:val="22"/>
          </w:rPr>
          <w:tab/>
        </w:r>
        <w:r w:rsidR="00AE4ED4" w:rsidRPr="009E5CB7">
          <w:rPr>
            <w:rStyle w:val="Hyperlink"/>
          </w:rPr>
          <w:t>Introduction and Context</w:t>
        </w:r>
        <w:r w:rsidR="00AE4ED4">
          <w:rPr>
            <w:webHidden/>
          </w:rPr>
          <w:t xml:space="preserve"> </w:t>
        </w:r>
        <w:r w:rsidR="00AE4ED4">
          <w:rPr>
            <w:webHidden/>
          </w:rPr>
          <w:tab/>
        </w:r>
        <w:r w:rsidR="00AE4ED4">
          <w:rPr>
            <w:webHidden/>
          </w:rPr>
          <w:fldChar w:fldCharType="begin"/>
        </w:r>
        <w:r w:rsidR="00AE4ED4">
          <w:rPr>
            <w:webHidden/>
          </w:rPr>
          <w:instrText xml:space="preserve"> PAGEREF _Toc416683523 \h </w:instrText>
        </w:r>
        <w:r w:rsidR="00AE4ED4">
          <w:rPr>
            <w:webHidden/>
          </w:rPr>
        </w:r>
        <w:r w:rsidR="00AE4ED4">
          <w:rPr>
            <w:webHidden/>
          </w:rPr>
          <w:fldChar w:fldCharType="separate"/>
        </w:r>
        <w:r w:rsidR="00755618">
          <w:rPr>
            <w:webHidden/>
          </w:rPr>
          <w:t>3</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24" w:history="1">
        <w:r w:rsidR="00AE4ED4" w:rsidRPr="009E5CB7">
          <w:rPr>
            <w:rStyle w:val="Hyperlink"/>
          </w:rPr>
          <w:t>2</w:t>
        </w:r>
        <w:r w:rsidR="00AE4ED4">
          <w:rPr>
            <w:rFonts w:asciiTheme="minorHAnsi" w:hAnsiTheme="minorHAnsi" w:cstheme="minorBidi"/>
            <w:bCs w:val="0"/>
            <w:sz w:val="22"/>
            <w:szCs w:val="22"/>
          </w:rPr>
          <w:tab/>
        </w:r>
        <w:r w:rsidR="00AE4ED4" w:rsidRPr="009E5CB7">
          <w:rPr>
            <w:rStyle w:val="Hyperlink"/>
          </w:rPr>
          <w:t>Scope</w:t>
        </w:r>
        <w:r w:rsidR="00AE4ED4">
          <w:rPr>
            <w:rStyle w:val="Hyperlink"/>
          </w:rPr>
          <w:tab/>
        </w:r>
        <w:r w:rsidR="00AE4ED4">
          <w:rPr>
            <w:webHidden/>
          </w:rPr>
          <w:fldChar w:fldCharType="begin"/>
        </w:r>
        <w:r w:rsidR="00AE4ED4">
          <w:rPr>
            <w:webHidden/>
          </w:rPr>
          <w:instrText xml:space="preserve"> PAGEREF _Toc416683524 \h </w:instrText>
        </w:r>
        <w:r w:rsidR="00AE4ED4">
          <w:rPr>
            <w:webHidden/>
          </w:rPr>
        </w:r>
        <w:r w:rsidR="00AE4ED4">
          <w:rPr>
            <w:webHidden/>
          </w:rPr>
          <w:fldChar w:fldCharType="separate"/>
        </w:r>
        <w:r w:rsidR="00755618">
          <w:rPr>
            <w:webHidden/>
          </w:rPr>
          <w:t>3</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25" w:history="1">
        <w:r w:rsidR="00AE4ED4" w:rsidRPr="009E5CB7">
          <w:rPr>
            <w:rStyle w:val="Hyperlink"/>
          </w:rPr>
          <w:t>3</w:t>
        </w:r>
        <w:r w:rsidR="00AE4ED4">
          <w:rPr>
            <w:rFonts w:asciiTheme="minorHAnsi" w:hAnsiTheme="minorHAnsi" w:cstheme="minorBidi"/>
            <w:bCs w:val="0"/>
            <w:sz w:val="22"/>
            <w:szCs w:val="22"/>
          </w:rPr>
          <w:tab/>
        </w:r>
        <w:r w:rsidR="00AE4ED4" w:rsidRPr="009E5CB7">
          <w:rPr>
            <w:rStyle w:val="Hyperlink"/>
          </w:rPr>
          <w:t>Roles and Responsibilities</w:t>
        </w:r>
        <w:r w:rsidR="00AE4ED4">
          <w:rPr>
            <w:webHidden/>
          </w:rPr>
          <w:t xml:space="preserve"> </w:t>
        </w:r>
        <w:r w:rsidR="00AE4ED4">
          <w:rPr>
            <w:webHidden/>
          </w:rPr>
          <w:tab/>
        </w:r>
        <w:r w:rsidR="00AE4ED4">
          <w:rPr>
            <w:webHidden/>
          </w:rPr>
          <w:fldChar w:fldCharType="begin"/>
        </w:r>
        <w:r w:rsidR="00AE4ED4">
          <w:rPr>
            <w:webHidden/>
          </w:rPr>
          <w:instrText xml:space="preserve"> PAGEREF _Toc416683525 \h </w:instrText>
        </w:r>
        <w:r w:rsidR="00AE4ED4">
          <w:rPr>
            <w:webHidden/>
          </w:rPr>
        </w:r>
        <w:r w:rsidR="00AE4ED4">
          <w:rPr>
            <w:webHidden/>
          </w:rPr>
          <w:fldChar w:fldCharType="separate"/>
        </w:r>
        <w:r w:rsidR="00755618">
          <w:rPr>
            <w:webHidden/>
          </w:rPr>
          <w:t>3</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26" w:history="1">
        <w:r w:rsidR="00AE4ED4" w:rsidRPr="009E5CB7">
          <w:rPr>
            <w:rStyle w:val="Hyperlink"/>
          </w:rPr>
          <w:t>4</w:t>
        </w:r>
        <w:r w:rsidR="00AE4ED4">
          <w:rPr>
            <w:rFonts w:asciiTheme="minorHAnsi" w:hAnsiTheme="minorHAnsi" w:cstheme="minorBidi"/>
            <w:bCs w:val="0"/>
            <w:sz w:val="22"/>
            <w:szCs w:val="22"/>
          </w:rPr>
          <w:tab/>
        </w:r>
        <w:r w:rsidR="00AE4ED4" w:rsidRPr="009E5CB7">
          <w:rPr>
            <w:rStyle w:val="Hyperlink"/>
          </w:rPr>
          <w:t>Making an Application</w:t>
        </w:r>
        <w:r w:rsidR="00AE4ED4">
          <w:rPr>
            <w:webHidden/>
          </w:rPr>
          <w:t xml:space="preserve"> </w:t>
        </w:r>
        <w:r w:rsidR="00AE4ED4">
          <w:rPr>
            <w:webHidden/>
          </w:rPr>
          <w:tab/>
        </w:r>
        <w:r w:rsidR="00AE4ED4">
          <w:rPr>
            <w:webHidden/>
          </w:rPr>
          <w:fldChar w:fldCharType="begin"/>
        </w:r>
        <w:r w:rsidR="00AE4ED4">
          <w:rPr>
            <w:webHidden/>
          </w:rPr>
          <w:instrText xml:space="preserve"> PAGEREF _Toc416683526 \h </w:instrText>
        </w:r>
        <w:r w:rsidR="00AE4ED4">
          <w:rPr>
            <w:webHidden/>
          </w:rPr>
        </w:r>
        <w:r w:rsidR="00AE4ED4">
          <w:rPr>
            <w:webHidden/>
          </w:rPr>
          <w:fldChar w:fldCharType="separate"/>
        </w:r>
        <w:r w:rsidR="00755618">
          <w:rPr>
            <w:webHidden/>
          </w:rPr>
          <w:t>4</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27" w:history="1">
        <w:r w:rsidR="00AE4ED4" w:rsidRPr="009E5CB7">
          <w:rPr>
            <w:rStyle w:val="Hyperlink"/>
          </w:rPr>
          <w:t>5</w:t>
        </w:r>
        <w:r w:rsidR="00AE4ED4">
          <w:rPr>
            <w:rFonts w:asciiTheme="minorHAnsi" w:hAnsiTheme="minorHAnsi" w:cstheme="minorBidi"/>
            <w:bCs w:val="0"/>
            <w:sz w:val="22"/>
            <w:szCs w:val="22"/>
          </w:rPr>
          <w:tab/>
        </w:r>
        <w:r w:rsidR="00AE4ED4" w:rsidRPr="009E5CB7">
          <w:rPr>
            <w:rStyle w:val="Hyperlink"/>
          </w:rPr>
          <w:t>Entry Requirements</w:t>
        </w:r>
        <w:r w:rsidR="00AE4ED4">
          <w:rPr>
            <w:webHidden/>
          </w:rPr>
          <w:t xml:space="preserve"> </w:t>
        </w:r>
        <w:r w:rsidR="00AE4ED4">
          <w:rPr>
            <w:webHidden/>
          </w:rPr>
          <w:tab/>
        </w:r>
        <w:r w:rsidR="00AE4ED4">
          <w:rPr>
            <w:webHidden/>
          </w:rPr>
          <w:fldChar w:fldCharType="begin"/>
        </w:r>
        <w:r w:rsidR="00AE4ED4">
          <w:rPr>
            <w:webHidden/>
          </w:rPr>
          <w:instrText xml:space="preserve"> PAGEREF _Toc416683527 \h </w:instrText>
        </w:r>
        <w:r w:rsidR="00AE4ED4">
          <w:rPr>
            <w:webHidden/>
          </w:rPr>
        </w:r>
        <w:r w:rsidR="00AE4ED4">
          <w:rPr>
            <w:webHidden/>
          </w:rPr>
          <w:fldChar w:fldCharType="separate"/>
        </w:r>
        <w:r w:rsidR="00755618">
          <w:rPr>
            <w:webHidden/>
          </w:rPr>
          <w:t>5</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28" w:history="1">
        <w:r w:rsidR="00AE4ED4" w:rsidRPr="009E5CB7">
          <w:rPr>
            <w:rStyle w:val="Hyperlink"/>
          </w:rPr>
          <w:t>6</w:t>
        </w:r>
        <w:r w:rsidR="00AE4ED4">
          <w:rPr>
            <w:rFonts w:asciiTheme="minorHAnsi" w:hAnsiTheme="minorHAnsi" w:cstheme="minorBidi"/>
            <w:bCs w:val="0"/>
            <w:sz w:val="22"/>
            <w:szCs w:val="22"/>
          </w:rPr>
          <w:tab/>
        </w:r>
        <w:r w:rsidR="00AE4ED4" w:rsidRPr="009E5CB7">
          <w:rPr>
            <w:rStyle w:val="Hyperlink"/>
          </w:rPr>
          <w:t>Changes to Programmes</w:t>
        </w:r>
        <w:r w:rsidR="00AE4ED4">
          <w:rPr>
            <w:webHidden/>
          </w:rPr>
          <w:t xml:space="preserve"> </w:t>
        </w:r>
        <w:r w:rsidR="00AE4ED4">
          <w:rPr>
            <w:webHidden/>
          </w:rPr>
          <w:tab/>
        </w:r>
        <w:r w:rsidR="00AE4ED4">
          <w:rPr>
            <w:webHidden/>
          </w:rPr>
          <w:fldChar w:fldCharType="begin"/>
        </w:r>
        <w:r w:rsidR="00AE4ED4">
          <w:rPr>
            <w:webHidden/>
          </w:rPr>
          <w:instrText xml:space="preserve"> PAGEREF _Toc416683528 \h </w:instrText>
        </w:r>
        <w:r w:rsidR="00AE4ED4">
          <w:rPr>
            <w:webHidden/>
          </w:rPr>
        </w:r>
        <w:r w:rsidR="00AE4ED4">
          <w:rPr>
            <w:webHidden/>
          </w:rPr>
          <w:fldChar w:fldCharType="separate"/>
        </w:r>
        <w:r w:rsidR="00755618">
          <w:rPr>
            <w:webHidden/>
          </w:rPr>
          <w:t>5</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29" w:history="1">
        <w:r w:rsidR="00AE4ED4" w:rsidRPr="009E5CB7">
          <w:rPr>
            <w:rStyle w:val="Hyperlink"/>
            <w:lang w:eastAsia="zh-CN"/>
          </w:rPr>
          <w:t>7</w:t>
        </w:r>
        <w:r w:rsidR="00AE4ED4">
          <w:rPr>
            <w:rFonts w:asciiTheme="minorHAnsi" w:hAnsiTheme="minorHAnsi" w:cstheme="minorBidi"/>
            <w:bCs w:val="0"/>
            <w:sz w:val="22"/>
            <w:szCs w:val="22"/>
          </w:rPr>
          <w:tab/>
        </w:r>
        <w:r w:rsidR="00AE4ED4" w:rsidRPr="009E5CB7">
          <w:rPr>
            <w:rStyle w:val="Hyperlink"/>
          </w:rPr>
          <w:t>Equal Opportunities</w:t>
        </w:r>
        <w:r w:rsidR="00AE4ED4">
          <w:rPr>
            <w:webHidden/>
          </w:rPr>
          <w:t xml:space="preserve"> </w:t>
        </w:r>
        <w:r w:rsidR="00AE4ED4">
          <w:rPr>
            <w:webHidden/>
          </w:rPr>
          <w:tab/>
        </w:r>
        <w:r w:rsidR="00AE4ED4">
          <w:rPr>
            <w:webHidden/>
          </w:rPr>
          <w:fldChar w:fldCharType="begin"/>
        </w:r>
        <w:r w:rsidR="00AE4ED4">
          <w:rPr>
            <w:webHidden/>
          </w:rPr>
          <w:instrText xml:space="preserve"> PAGEREF _Toc416683529 \h </w:instrText>
        </w:r>
        <w:r w:rsidR="00AE4ED4">
          <w:rPr>
            <w:webHidden/>
          </w:rPr>
        </w:r>
        <w:r w:rsidR="00AE4ED4">
          <w:rPr>
            <w:webHidden/>
          </w:rPr>
          <w:fldChar w:fldCharType="separate"/>
        </w:r>
        <w:r w:rsidR="00755618">
          <w:rPr>
            <w:webHidden/>
          </w:rPr>
          <w:t>6</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30" w:history="1">
        <w:r w:rsidR="00AE4ED4" w:rsidRPr="009E5CB7">
          <w:rPr>
            <w:rStyle w:val="Hyperlink"/>
          </w:rPr>
          <w:t>8</w:t>
        </w:r>
        <w:r w:rsidR="00AE4ED4">
          <w:rPr>
            <w:rFonts w:asciiTheme="minorHAnsi" w:hAnsiTheme="minorHAnsi" w:cstheme="minorBidi"/>
            <w:bCs w:val="0"/>
            <w:sz w:val="22"/>
            <w:szCs w:val="22"/>
          </w:rPr>
          <w:tab/>
        </w:r>
        <w:r w:rsidR="00AE4ED4" w:rsidRPr="009E5CB7">
          <w:rPr>
            <w:rStyle w:val="Hyperlink"/>
          </w:rPr>
          <w:t>The Application Process (Taught programmes)</w:t>
        </w:r>
        <w:r w:rsidR="00AE4ED4">
          <w:rPr>
            <w:rStyle w:val="Hyperlink"/>
          </w:rPr>
          <w:tab/>
        </w:r>
        <w:r w:rsidR="00AE4ED4">
          <w:rPr>
            <w:webHidden/>
          </w:rPr>
          <w:fldChar w:fldCharType="begin"/>
        </w:r>
        <w:r w:rsidR="00AE4ED4">
          <w:rPr>
            <w:webHidden/>
          </w:rPr>
          <w:instrText xml:space="preserve"> PAGEREF _Toc416683530 \h </w:instrText>
        </w:r>
        <w:r w:rsidR="00AE4ED4">
          <w:rPr>
            <w:webHidden/>
          </w:rPr>
        </w:r>
        <w:r w:rsidR="00AE4ED4">
          <w:rPr>
            <w:webHidden/>
          </w:rPr>
          <w:fldChar w:fldCharType="separate"/>
        </w:r>
        <w:r w:rsidR="00755618">
          <w:rPr>
            <w:webHidden/>
          </w:rPr>
          <w:t>6</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31" w:history="1">
        <w:r w:rsidR="00AE4ED4" w:rsidRPr="009E5CB7">
          <w:rPr>
            <w:rStyle w:val="Hyperlink"/>
          </w:rPr>
          <w:t>9</w:t>
        </w:r>
        <w:r w:rsidR="00AE4ED4">
          <w:rPr>
            <w:rFonts w:asciiTheme="minorHAnsi" w:hAnsiTheme="minorHAnsi" w:cstheme="minorBidi"/>
            <w:bCs w:val="0"/>
            <w:sz w:val="22"/>
            <w:szCs w:val="22"/>
          </w:rPr>
          <w:tab/>
        </w:r>
        <w:r w:rsidR="00AE4ED4" w:rsidRPr="009E5CB7">
          <w:rPr>
            <w:rStyle w:val="Hyperlink"/>
          </w:rPr>
          <w:t>The Application Process (Research Programmes)</w:t>
        </w:r>
        <w:r w:rsidR="00AE4ED4">
          <w:rPr>
            <w:rStyle w:val="Hyperlink"/>
          </w:rPr>
          <w:tab/>
        </w:r>
        <w:r w:rsidR="00AE4ED4">
          <w:rPr>
            <w:webHidden/>
          </w:rPr>
          <w:fldChar w:fldCharType="begin"/>
        </w:r>
        <w:r w:rsidR="00AE4ED4">
          <w:rPr>
            <w:webHidden/>
          </w:rPr>
          <w:instrText xml:space="preserve"> PAGEREF _Toc416683531 \h </w:instrText>
        </w:r>
        <w:r w:rsidR="00AE4ED4">
          <w:rPr>
            <w:webHidden/>
          </w:rPr>
        </w:r>
        <w:r w:rsidR="00AE4ED4">
          <w:rPr>
            <w:webHidden/>
          </w:rPr>
          <w:fldChar w:fldCharType="separate"/>
        </w:r>
        <w:r w:rsidR="00755618">
          <w:rPr>
            <w:webHidden/>
          </w:rPr>
          <w:t>7</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32" w:history="1">
        <w:r w:rsidR="00AE4ED4" w:rsidRPr="009E5CB7">
          <w:rPr>
            <w:rStyle w:val="Hyperlink"/>
          </w:rPr>
          <w:t>10</w:t>
        </w:r>
        <w:r w:rsidR="00AE4ED4">
          <w:rPr>
            <w:rFonts w:asciiTheme="minorHAnsi" w:hAnsiTheme="minorHAnsi" w:cstheme="minorBidi"/>
            <w:bCs w:val="0"/>
            <w:sz w:val="22"/>
            <w:szCs w:val="22"/>
          </w:rPr>
          <w:tab/>
        </w:r>
        <w:r w:rsidR="00AE4ED4" w:rsidRPr="009E5CB7">
          <w:rPr>
            <w:rStyle w:val="Hyperlink"/>
          </w:rPr>
          <w:t>Deferred Entry</w:t>
        </w:r>
        <w:r w:rsidR="00AE4ED4">
          <w:rPr>
            <w:webHidden/>
          </w:rPr>
          <w:t xml:space="preserve"> </w:t>
        </w:r>
        <w:r w:rsidR="00AE4ED4">
          <w:rPr>
            <w:webHidden/>
          </w:rPr>
          <w:tab/>
        </w:r>
        <w:r w:rsidR="00AE4ED4">
          <w:rPr>
            <w:webHidden/>
          </w:rPr>
          <w:fldChar w:fldCharType="begin"/>
        </w:r>
        <w:r w:rsidR="00AE4ED4">
          <w:rPr>
            <w:webHidden/>
          </w:rPr>
          <w:instrText xml:space="preserve"> PAGEREF _Toc416683532 \h </w:instrText>
        </w:r>
        <w:r w:rsidR="00AE4ED4">
          <w:rPr>
            <w:webHidden/>
          </w:rPr>
        </w:r>
        <w:r w:rsidR="00AE4ED4">
          <w:rPr>
            <w:webHidden/>
          </w:rPr>
          <w:fldChar w:fldCharType="separate"/>
        </w:r>
        <w:r w:rsidR="00755618">
          <w:rPr>
            <w:webHidden/>
          </w:rPr>
          <w:t>7</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33" w:history="1">
        <w:r w:rsidR="00AE4ED4" w:rsidRPr="009E5CB7">
          <w:rPr>
            <w:rStyle w:val="Hyperlink"/>
          </w:rPr>
          <w:t>11</w:t>
        </w:r>
        <w:r w:rsidR="00AE4ED4">
          <w:rPr>
            <w:rFonts w:asciiTheme="minorHAnsi" w:hAnsiTheme="minorHAnsi" w:cstheme="minorBidi"/>
            <w:bCs w:val="0"/>
            <w:sz w:val="22"/>
            <w:szCs w:val="22"/>
          </w:rPr>
          <w:tab/>
        </w:r>
        <w:r w:rsidR="00AE4ED4" w:rsidRPr="009E5CB7">
          <w:rPr>
            <w:rStyle w:val="Hyperlink"/>
          </w:rPr>
          <w:t>Unsuccessful Applications</w:t>
        </w:r>
        <w:r w:rsidR="00AE4ED4">
          <w:rPr>
            <w:webHidden/>
          </w:rPr>
          <w:t xml:space="preserve"> </w:t>
        </w:r>
        <w:r w:rsidR="00AE4ED4">
          <w:rPr>
            <w:webHidden/>
          </w:rPr>
          <w:tab/>
        </w:r>
        <w:r w:rsidR="00AE4ED4">
          <w:rPr>
            <w:webHidden/>
          </w:rPr>
          <w:fldChar w:fldCharType="begin"/>
        </w:r>
        <w:r w:rsidR="00AE4ED4">
          <w:rPr>
            <w:webHidden/>
          </w:rPr>
          <w:instrText xml:space="preserve"> PAGEREF _Toc416683533 \h </w:instrText>
        </w:r>
        <w:r w:rsidR="00AE4ED4">
          <w:rPr>
            <w:webHidden/>
          </w:rPr>
        </w:r>
        <w:r w:rsidR="00AE4ED4">
          <w:rPr>
            <w:webHidden/>
          </w:rPr>
          <w:fldChar w:fldCharType="separate"/>
        </w:r>
        <w:r w:rsidR="00755618">
          <w:rPr>
            <w:webHidden/>
          </w:rPr>
          <w:t>8</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34" w:history="1">
        <w:r w:rsidR="00AE4ED4" w:rsidRPr="009E5CB7">
          <w:rPr>
            <w:rStyle w:val="Hyperlink"/>
          </w:rPr>
          <w:t>12</w:t>
        </w:r>
        <w:r w:rsidR="00AE4ED4">
          <w:rPr>
            <w:rFonts w:asciiTheme="minorHAnsi" w:hAnsiTheme="minorHAnsi" w:cstheme="minorBidi"/>
            <w:bCs w:val="0"/>
            <w:sz w:val="22"/>
            <w:szCs w:val="22"/>
          </w:rPr>
          <w:tab/>
        </w:r>
        <w:r w:rsidR="00AE4ED4" w:rsidRPr="009E5CB7">
          <w:rPr>
            <w:rStyle w:val="Hyperlink"/>
          </w:rPr>
          <w:t>Complaints</w:t>
        </w:r>
        <w:r w:rsidR="00AE4ED4">
          <w:rPr>
            <w:webHidden/>
          </w:rPr>
          <w:t xml:space="preserve"> </w:t>
        </w:r>
        <w:r w:rsidR="00AE4ED4">
          <w:rPr>
            <w:webHidden/>
          </w:rPr>
          <w:tab/>
        </w:r>
        <w:r w:rsidR="00AE4ED4">
          <w:rPr>
            <w:webHidden/>
          </w:rPr>
          <w:fldChar w:fldCharType="begin"/>
        </w:r>
        <w:r w:rsidR="00AE4ED4">
          <w:rPr>
            <w:webHidden/>
          </w:rPr>
          <w:instrText xml:space="preserve"> PAGEREF _Toc416683534 \h </w:instrText>
        </w:r>
        <w:r w:rsidR="00AE4ED4">
          <w:rPr>
            <w:webHidden/>
          </w:rPr>
        </w:r>
        <w:r w:rsidR="00AE4ED4">
          <w:rPr>
            <w:webHidden/>
          </w:rPr>
          <w:fldChar w:fldCharType="separate"/>
        </w:r>
        <w:r w:rsidR="00755618">
          <w:rPr>
            <w:webHidden/>
          </w:rPr>
          <w:t>8</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35" w:history="1">
        <w:r w:rsidR="00AE4ED4" w:rsidRPr="009E5CB7">
          <w:rPr>
            <w:rStyle w:val="Hyperlink"/>
          </w:rPr>
          <w:t>13</w:t>
        </w:r>
        <w:r w:rsidR="00AE4ED4">
          <w:rPr>
            <w:rFonts w:asciiTheme="minorHAnsi" w:hAnsiTheme="minorHAnsi" w:cstheme="minorBidi"/>
            <w:bCs w:val="0"/>
            <w:sz w:val="22"/>
            <w:szCs w:val="22"/>
          </w:rPr>
          <w:tab/>
        </w:r>
        <w:r w:rsidR="00AE4ED4" w:rsidRPr="009E5CB7">
          <w:rPr>
            <w:rStyle w:val="Hyperlink"/>
          </w:rPr>
          <w:t>Fraudulent Statements and Documents</w:t>
        </w:r>
        <w:r w:rsidR="00AE4ED4">
          <w:rPr>
            <w:webHidden/>
          </w:rPr>
          <w:t xml:space="preserve"> </w:t>
        </w:r>
        <w:r w:rsidR="00AE4ED4">
          <w:rPr>
            <w:webHidden/>
          </w:rPr>
          <w:tab/>
        </w:r>
        <w:r w:rsidR="00AE4ED4">
          <w:rPr>
            <w:webHidden/>
          </w:rPr>
          <w:fldChar w:fldCharType="begin"/>
        </w:r>
        <w:r w:rsidR="00AE4ED4">
          <w:rPr>
            <w:webHidden/>
          </w:rPr>
          <w:instrText xml:space="preserve"> PAGEREF _Toc416683535 \h </w:instrText>
        </w:r>
        <w:r w:rsidR="00AE4ED4">
          <w:rPr>
            <w:webHidden/>
          </w:rPr>
        </w:r>
        <w:r w:rsidR="00AE4ED4">
          <w:rPr>
            <w:webHidden/>
          </w:rPr>
          <w:fldChar w:fldCharType="separate"/>
        </w:r>
        <w:r w:rsidR="00755618">
          <w:rPr>
            <w:webHidden/>
          </w:rPr>
          <w:t>9</w:t>
        </w:r>
        <w:r w:rsidR="00AE4ED4">
          <w:rPr>
            <w:webHidden/>
          </w:rPr>
          <w:fldChar w:fldCharType="end"/>
        </w:r>
      </w:hyperlink>
    </w:p>
    <w:p w:rsidR="00AE4ED4" w:rsidRDefault="002C4EE3">
      <w:pPr>
        <w:pStyle w:val="TOC1"/>
        <w:rPr>
          <w:rFonts w:asciiTheme="minorHAnsi" w:hAnsiTheme="minorHAnsi" w:cstheme="minorBidi"/>
          <w:bCs w:val="0"/>
          <w:sz w:val="22"/>
          <w:szCs w:val="22"/>
        </w:rPr>
      </w:pPr>
      <w:hyperlink w:anchor="_Toc416683536" w:history="1">
        <w:r w:rsidR="00AE4ED4" w:rsidRPr="009E5CB7">
          <w:rPr>
            <w:rStyle w:val="Hyperlink"/>
          </w:rPr>
          <w:t>14</w:t>
        </w:r>
        <w:r w:rsidR="00AE4ED4">
          <w:rPr>
            <w:rFonts w:asciiTheme="minorHAnsi" w:hAnsiTheme="minorHAnsi" w:cstheme="minorBidi"/>
            <w:bCs w:val="0"/>
            <w:sz w:val="22"/>
            <w:szCs w:val="22"/>
          </w:rPr>
          <w:tab/>
        </w:r>
        <w:r w:rsidR="00AE4ED4" w:rsidRPr="009E5CB7">
          <w:rPr>
            <w:rStyle w:val="Hyperlink"/>
          </w:rPr>
          <w:t>Data Protection</w:t>
        </w:r>
        <w:r w:rsidR="00AE4ED4">
          <w:rPr>
            <w:webHidden/>
          </w:rPr>
          <w:t xml:space="preserve"> </w:t>
        </w:r>
        <w:r w:rsidR="00AE4ED4">
          <w:rPr>
            <w:webHidden/>
          </w:rPr>
          <w:tab/>
        </w:r>
        <w:r w:rsidR="00AE4ED4">
          <w:rPr>
            <w:webHidden/>
          </w:rPr>
          <w:fldChar w:fldCharType="begin"/>
        </w:r>
        <w:r w:rsidR="00AE4ED4">
          <w:rPr>
            <w:webHidden/>
          </w:rPr>
          <w:instrText xml:space="preserve"> PAGEREF _Toc416683536 \h </w:instrText>
        </w:r>
        <w:r w:rsidR="00AE4ED4">
          <w:rPr>
            <w:webHidden/>
          </w:rPr>
        </w:r>
        <w:r w:rsidR="00AE4ED4">
          <w:rPr>
            <w:webHidden/>
          </w:rPr>
          <w:fldChar w:fldCharType="separate"/>
        </w:r>
        <w:r w:rsidR="00755618">
          <w:rPr>
            <w:webHidden/>
          </w:rPr>
          <w:t>9</w:t>
        </w:r>
        <w:r w:rsidR="00AE4ED4">
          <w:rPr>
            <w:webHidden/>
          </w:rPr>
          <w:fldChar w:fldCharType="end"/>
        </w:r>
      </w:hyperlink>
    </w:p>
    <w:p w:rsidR="00876075" w:rsidRPr="00846FB2" w:rsidRDefault="00876075" w:rsidP="00846FB2">
      <w:pPr>
        <w:spacing w:before="240" w:after="240"/>
        <w:rPr>
          <w:color w:val="943634" w:themeColor="accent2" w:themeShade="BF"/>
          <w:sz w:val="24"/>
          <w:szCs w:val="24"/>
        </w:rPr>
      </w:pPr>
      <w:r w:rsidRPr="00846FB2">
        <w:rPr>
          <w:rFonts w:ascii="Arial" w:hAnsi="Arial" w:cs="Arial"/>
          <w:color w:val="943634" w:themeColor="accent2" w:themeShade="BF"/>
          <w:sz w:val="28"/>
          <w:szCs w:val="28"/>
        </w:rPr>
        <w:fldChar w:fldCharType="end"/>
      </w:r>
    </w:p>
    <w:p w:rsidR="00876075" w:rsidRDefault="00876075">
      <w:pPr>
        <w:rPr>
          <w:rFonts w:ascii="Arial" w:hAnsi="Arial" w:cs="Arial"/>
          <w:b/>
          <w:bCs/>
          <w:color w:val="943634" w:themeColor="accent2" w:themeShade="BF"/>
          <w:sz w:val="24"/>
          <w:szCs w:val="24"/>
        </w:rPr>
      </w:pPr>
      <w:r>
        <w:rPr>
          <w:color w:val="943634" w:themeColor="accent2" w:themeShade="BF"/>
          <w:sz w:val="24"/>
          <w:szCs w:val="24"/>
        </w:rPr>
        <w:br w:type="page"/>
      </w:r>
      <w:bookmarkStart w:id="0" w:name="_GoBack"/>
      <w:bookmarkEnd w:id="0"/>
    </w:p>
    <w:p w:rsidR="00ED4A53" w:rsidRPr="00D23717" w:rsidRDefault="00981629" w:rsidP="00846FB2">
      <w:pPr>
        <w:pStyle w:val="CoPborderheading"/>
        <w:rPr>
          <w:rFonts w:hint="eastAsia"/>
        </w:rPr>
      </w:pPr>
      <w:bookmarkStart w:id="1" w:name="_Toc342395970"/>
      <w:bookmarkStart w:id="2" w:name="_Toc416683523"/>
      <w:r w:rsidRPr="00D23717">
        <w:lastRenderedPageBreak/>
        <w:t xml:space="preserve">Introduction </w:t>
      </w:r>
      <w:r w:rsidR="00E92B0F" w:rsidRPr="00D23717">
        <w:t>and Context</w:t>
      </w:r>
      <w:bookmarkEnd w:id="1"/>
      <w:bookmarkEnd w:id="2"/>
      <w:r w:rsidR="00ED4A53" w:rsidRPr="00D23717">
        <w:t xml:space="preserve"> </w:t>
      </w:r>
    </w:p>
    <w:p w:rsidR="008B6CFC" w:rsidRPr="00662AC8" w:rsidRDefault="00C11613" w:rsidP="00D67B9B">
      <w:pPr>
        <w:pStyle w:val="CoPNumberlevel1"/>
      </w:pPr>
      <w:r>
        <w:t>As</w:t>
      </w:r>
      <w:r w:rsidRPr="009E5E1A">
        <w:t xml:space="preserve"> </w:t>
      </w:r>
      <w:r>
        <w:t xml:space="preserve">an </w:t>
      </w:r>
      <w:r w:rsidRPr="009E5E1A">
        <w:t>international centre of excellence</w:t>
      </w:r>
      <w:r>
        <w:t xml:space="preserve"> for po</w:t>
      </w:r>
      <w:r w:rsidRPr="00662AC8">
        <w:t xml:space="preserve">stgraduate education, </w:t>
      </w:r>
      <w:r w:rsidR="005B24BE">
        <w:t xml:space="preserve">the </w:t>
      </w:r>
      <w:r w:rsidRPr="00662AC8">
        <w:t>L</w:t>
      </w:r>
      <w:r w:rsidR="005B24BE">
        <w:t xml:space="preserve">iverpool </w:t>
      </w:r>
      <w:r w:rsidRPr="00662AC8">
        <w:t>S</w:t>
      </w:r>
      <w:r w:rsidR="005B24BE">
        <w:t xml:space="preserve">chool of </w:t>
      </w:r>
      <w:r w:rsidRPr="00662AC8">
        <w:t>T</w:t>
      </w:r>
      <w:r w:rsidR="005B24BE">
        <w:t xml:space="preserve">ropical </w:t>
      </w:r>
      <w:r w:rsidRPr="00662AC8">
        <w:t>M</w:t>
      </w:r>
      <w:r w:rsidR="005B24BE">
        <w:t>edicine</w:t>
      </w:r>
      <w:r w:rsidRPr="00662AC8">
        <w:t xml:space="preserve"> </w:t>
      </w:r>
      <w:r w:rsidR="00D4322A">
        <w:t xml:space="preserve">(LSTM) </w:t>
      </w:r>
      <w:r w:rsidR="00DC5F0B" w:rsidRPr="00662AC8">
        <w:t>is committed to</w:t>
      </w:r>
      <w:r w:rsidRPr="00662AC8">
        <w:t xml:space="preserve"> implementing </w:t>
      </w:r>
      <w:r w:rsidR="00FF116C" w:rsidRPr="00662AC8">
        <w:t xml:space="preserve">processes </w:t>
      </w:r>
      <w:r w:rsidRPr="00662AC8">
        <w:t xml:space="preserve">for the recruitment, selection and admission of students that are fair, explicit and consistent. </w:t>
      </w:r>
      <w:r w:rsidR="00E92B0F" w:rsidRPr="00662AC8">
        <w:t>LSTM’s admissions practices are designed to ensure that applicants are treated wholly on the basis of their achievements and potential to complete successfully their chosen programme of study.</w:t>
      </w:r>
      <w:r w:rsidRPr="00662AC8">
        <w:t xml:space="preserve"> LSTM aims to admit students of the highest calibre, who have both the academic potential </w:t>
      </w:r>
      <w:r w:rsidR="00F22E6A" w:rsidRPr="00662AC8">
        <w:t xml:space="preserve">and motivation to succeed. </w:t>
      </w:r>
    </w:p>
    <w:p w:rsidR="00E92B0F" w:rsidRPr="00662AC8" w:rsidRDefault="00F22E6A" w:rsidP="00D67B9B">
      <w:pPr>
        <w:pStyle w:val="CoPNumberlevel1"/>
      </w:pPr>
      <w:r w:rsidRPr="00662AC8">
        <w:t>T</w:t>
      </w:r>
      <w:r w:rsidR="00E92B0F" w:rsidRPr="00662AC8">
        <w:t xml:space="preserve">his Code of Practice complies with </w:t>
      </w:r>
      <w:r w:rsidR="00D6697B" w:rsidRPr="00662AC8">
        <w:t xml:space="preserve">all </w:t>
      </w:r>
      <w:r w:rsidR="00E92B0F" w:rsidRPr="00662AC8">
        <w:t xml:space="preserve">current </w:t>
      </w:r>
      <w:r w:rsidR="00D6697B" w:rsidRPr="00662AC8">
        <w:t xml:space="preserve">statutory and legislative requirements </w:t>
      </w:r>
      <w:r w:rsidR="00E92B0F" w:rsidRPr="00662AC8">
        <w:t>governing the admission of students, including the Equality Act 2010</w:t>
      </w:r>
      <w:r w:rsidR="008B6CFC" w:rsidRPr="00662AC8">
        <w:t xml:space="preserve"> and the Data Protection Act 1998</w:t>
      </w:r>
      <w:r w:rsidR="003451D3" w:rsidRPr="00662AC8">
        <w:t xml:space="preserve">. It </w:t>
      </w:r>
      <w:r w:rsidR="00E92B0F" w:rsidRPr="00662AC8">
        <w:t>is set within the context of the UK Quality Code for Higher Education Chapter B2</w:t>
      </w:r>
      <w:r w:rsidR="00D4322A">
        <w:t xml:space="preserve"> (</w:t>
      </w:r>
      <w:r w:rsidR="00E92B0F" w:rsidRPr="00662AC8">
        <w:t xml:space="preserve">Recruitment, selection and admission to </w:t>
      </w:r>
      <w:r w:rsidR="00D4322A">
        <w:t xml:space="preserve">higher education, </w:t>
      </w:r>
      <w:r w:rsidR="003451D3" w:rsidRPr="00662AC8">
        <w:t>October 2013) and Chapter B6</w:t>
      </w:r>
      <w:r w:rsidR="00D4322A">
        <w:t xml:space="preserve"> (</w:t>
      </w:r>
      <w:r w:rsidR="003451D3" w:rsidRPr="00662AC8">
        <w:t>Assessment of students and the</w:t>
      </w:r>
      <w:r w:rsidR="00D4322A">
        <w:t xml:space="preserve"> recognition of prior learning, </w:t>
      </w:r>
      <w:r w:rsidR="003451D3" w:rsidRPr="00662AC8">
        <w:t>October 2013).</w:t>
      </w:r>
    </w:p>
    <w:p w:rsidR="00981629" w:rsidRPr="00662AC8" w:rsidRDefault="005B24BE" w:rsidP="00D67B9B">
      <w:pPr>
        <w:pStyle w:val="CoPNumberlevel1"/>
      </w:pPr>
      <w:r>
        <w:t>Related documents</w:t>
      </w:r>
      <w:r w:rsidR="00981629" w:rsidRPr="00662AC8">
        <w:t>:</w:t>
      </w:r>
      <w:bookmarkStart w:id="3" w:name="_Toc342395969"/>
    </w:p>
    <w:p w:rsidR="00142C8B" w:rsidRDefault="00142C8B" w:rsidP="008A35ED">
      <w:pPr>
        <w:pStyle w:val="CoPbullet"/>
        <w:spacing w:before="60" w:after="60"/>
        <w:ind w:left="992" w:hanging="425"/>
      </w:pPr>
      <w:r>
        <w:t xml:space="preserve">Code of Practice on </w:t>
      </w:r>
      <w:r w:rsidR="00596CBA">
        <w:t>Student Support and Welfare</w:t>
      </w:r>
    </w:p>
    <w:p w:rsidR="00F07751" w:rsidRDefault="007E6E0E" w:rsidP="008A35ED">
      <w:pPr>
        <w:pStyle w:val="CoPbullet"/>
        <w:spacing w:before="60" w:after="60"/>
        <w:ind w:left="992" w:hanging="425"/>
      </w:pPr>
      <w:r>
        <w:t>Code of Practice on Payment and Refund of Tuition F</w:t>
      </w:r>
      <w:r w:rsidR="00142C8B">
        <w:t>ees</w:t>
      </w:r>
    </w:p>
    <w:p w:rsidR="00631145" w:rsidRPr="00D67B9B" w:rsidRDefault="00F07751" w:rsidP="008A35ED">
      <w:pPr>
        <w:pStyle w:val="CoPbullet"/>
        <w:spacing w:before="60" w:after="60"/>
        <w:ind w:left="992" w:hanging="425"/>
      </w:pPr>
      <w:r>
        <w:t>Code of Practice on Postgraduate Research Degrees</w:t>
      </w:r>
      <w:r w:rsidR="00631145" w:rsidRPr="00D67B9B">
        <w:t xml:space="preserve">  </w:t>
      </w:r>
    </w:p>
    <w:p w:rsidR="00E55044" w:rsidRPr="00D67B9B" w:rsidRDefault="00D450C2" w:rsidP="008A35ED">
      <w:pPr>
        <w:pStyle w:val="CoPbullet"/>
        <w:spacing w:before="60" w:after="60"/>
        <w:ind w:left="992" w:hanging="425"/>
      </w:pPr>
      <w:r w:rsidRPr="00D67B9B">
        <w:t>P</w:t>
      </w:r>
      <w:r w:rsidR="00E55044" w:rsidRPr="00D67B9B">
        <w:t>rocedure</w:t>
      </w:r>
      <w:r w:rsidR="00D65F7C">
        <w:t xml:space="preserve"> for Recognition of Prior L</w:t>
      </w:r>
      <w:r w:rsidRPr="00D67B9B">
        <w:t>earning</w:t>
      </w:r>
    </w:p>
    <w:p w:rsidR="00764250" w:rsidRDefault="00D65F7C" w:rsidP="00764250">
      <w:pPr>
        <w:pStyle w:val="CoPbullet"/>
        <w:spacing w:before="60" w:after="60"/>
        <w:ind w:left="992" w:hanging="425"/>
      </w:pPr>
      <w:r>
        <w:t xml:space="preserve">Procedure for </w:t>
      </w:r>
      <w:r w:rsidR="0020694C">
        <w:t>Dealing with Student Complaints</w:t>
      </w:r>
    </w:p>
    <w:p w:rsidR="00D450C2" w:rsidRDefault="007E6E0E" w:rsidP="00D4322A">
      <w:pPr>
        <w:pStyle w:val="CoPbullet"/>
        <w:spacing w:before="60" w:after="60"/>
        <w:ind w:left="992" w:hanging="425"/>
      </w:pPr>
      <w:r>
        <w:t xml:space="preserve">Procedure for </w:t>
      </w:r>
      <w:r w:rsidR="00D65F7C">
        <w:t>Awarding Scholarships for Taught P</w:t>
      </w:r>
      <w:r w:rsidR="00764250" w:rsidRPr="00764250">
        <w:t>rogrammes</w:t>
      </w:r>
    </w:p>
    <w:p w:rsidR="001C3C20" w:rsidRDefault="001C3C20" w:rsidP="00D4322A">
      <w:pPr>
        <w:pStyle w:val="CoPbullet"/>
        <w:spacing w:before="60" w:after="60"/>
        <w:ind w:left="992" w:hanging="425"/>
      </w:pPr>
      <w:r>
        <w:t>Privacy Statement</w:t>
      </w:r>
    </w:p>
    <w:p w:rsidR="00981629" w:rsidRPr="00A07F52" w:rsidRDefault="00981629" w:rsidP="00846FB2">
      <w:pPr>
        <w:pStyle w:val="CoPborderheading"/>
        <w:rPr>
          <w:rFonts w:hint="eastAsia"/>
        </w:rPr>
      </w:pPr>
      <w:bookmarkStart w:id="4" w:name="_Toc416683524"/>
      <w:r w:rsidRPr="00A07F52">
        <w:t>Scope</w:t>
      </w:r>
      <w:bookmarkEnd w:id="3"/>
      <w:bookmarkEnd w:id="4"/>
      <w:r w:rsidRPr="00A07F52">
        <w:t xml:space="preserve"> </w:t>
      </w:r>
    </w:p>
    <w:p w:rsidR="00E92B0F" w:rsidRPr="005B24BE" w:rsidRDefault="00981629" w:rsidP="008A14A5">
      <w:pPr>
        <w:pStyle w:val="CoPNumberlevel1"/>
      </w:pPr>
      <w:r>
        <w:t>This Code of Practice</w:t>
      </w:r>
      <w:r w:rsidRPr="009E5E1A">
        <w:t xml:space="preserve"> applies to all applications </w:t>
      </w:r>
      <w:r w:rsidR="00D4322A">
        <w:t xml:space="preserve">to </w:t>
      </w:r>
      <w:r w:rsidRPr="009E5E1A">
        <w:t xml:space="preserve">study at </w:t>
      </w:r>
      <w:r w:rsidR="005B24BE">
        <w:t>LSTM</w:t>
      </w:r>
      <w:r w:rsidR="00D4322A">
        <w:t>.</w:t>
      </w:r>
      <w:r w:rsidRPr="005B24BE">
        <w:t xml:space="preserve">  </w:t>
      </w:r>
    </w:p>
    <w:p w:rsidR="00ED4A53" w:rsidRPr="00A07F52" w:rsidRDefault="00ED4A53" w:rsidP="00846FB2">
      <w:pPr>
        <w:pStyle w:val="CoPborderheading"/>
        <w:rPr>
          <w:rFonts w:hint="eastAsia"/>
        </w:rPr>
      </w:pPr>
      <w:bookmarkStart w:id="5" w:name="_Toc342395973"/>
      <w:bookmarkStart w:id="6" w:name="_Toc416683525"/>
      <w:r w:rsidRPr="00A07F52">
        <w:t>Roles and Responsibilities</w:t>
      </w:r>
      <w:bookmarkEnd w:id="5"/>
      <w:bookmarkEnd w:id="6"/>
    </w:p>
    <w:p w:rsidR="00142C8B" w:rsidRDefault="00C64B92" w:rsidP="00846FB2">
      <w:pPr>
        <w:pStyle w:val="CoPNumberlevel1"/>
      </w:pPr>
      <w:r w:rsidRPr="00A96C21">
        <w:t xml:space="preserve">The </w:t>
      </w:r>
      <w:r w:rsidR="00564B29">
        <w:t>Management Committee</w:t>
      </w:r>
      <w:r w:rsidR="00BD1D0F">
        <w:t xml:space="preserve"> will</w:t>
      </w:r>
      <w:r w:rsidR="00142C8B">
        <w:t>:</w:t>
      </w:r>
    </w:p>
    <w:p w:rsidR="00A96C21" w:rsidRDefault="00142C8B" w:rsidP="00142C8B">
      <w:pPr>
        <w:pStyle w:val="CoPNumberlevel2"/>
      </w:pPr>
      <w:r>
        <w:t>A</w:t>
      </w:r>
      <w:r w:rsidR="005B24BE">
        <w:t>pprov</w:t>
      </w:r>
      <w:r w:rsidR="00D4322A">
        <w:t xml:space="preserve">e </w:t>
      </w:r>
      <w:r w:rsidR="00564B29">
        <w:t xml:space="preserve">the </w:t>
      </w:r>
      <w:r w:rsidR="00C64B92" w:rsidRPr="00A96C21">
        <w:t xml:space="preserve">portfolio of programmes and </w:t>
      </w:r>
      <w:r w:rsidR="00C11613">
        <w:t xml:space="preserve">short </w:t>
      </w:r>
      <w:r w:rsidR="00C64B92" w:rsidRPr="00A96C21">
        <w:t>courses to be offered upon the recommendation of the Learning and Teaching</w:t>
      </w:r>
      <w:r>
        <w:t xml:space="preserve"> </w:t>
      </w:r>
      <w:r w:rsidR="00C64B92" w:rsidRPr="00A96C21">
        <w:t>Committee</w:t>
      </w:r>
    </w:p>
    <w:p w:rsidR="00142C8B" w:rsidRDefault="00142C8B" w:rsidP="00142C8B">
      <w:pPr>
        <w:pStyle w:val="CoPNumberlevel2"/>
      </w:pPr>
      <w:r>
        <w:t xml:space="preserve">Approve programme fees </w:t>
      </w:r>
    </w:p>
    <w:p w:rsidR="00005B20" w:rsidRDefault="005B24BE" w:rsidP="00846FB2">
      <w:pPr>
        <w:pStyle w:val="CoPNumberlevel1"/>
      </w:pPr>
      <w:r>
        <w:t xml:space="preserve">The </w:t>
      </w:r>
      <w:r w:rsidR="00564B29">
        <w:t>L</w:t>
      </w:r>
      <w:r w:rsidR="00142C8B">
        <w:t xml:space="preserve">earning and </w:t>
      </w:r>
      <w:r w:rsidR="00564B29">
        <w:t>T</w:t>
      </w:r>
      <w:r w:rsidR="00142C8B">
        <w:t>eaching</w:t>
      </w:r>
      <w:r w:rsidR="00564B29">
        <w:t xml:space="preserve"> Committee </w:t>
      </w:r>
      <w:r w:rsidR="00D4322A">
        <w:t>will</w:t>
      </w:r>
      <w:r w:rsidR="00005B20">
        <w:t>:</w:t>
      </w:r>
    </w:p>
    <w:p w:rsidR="00005B20" w:rsidRDefault="00005B20" w:rsidP="00005B20">
      <w:pPr>
        <w:pStyle w:val="CoPNumberlevel2"/>
      </w:pPr>
      <w:r>
        <w:t>A</w:t>
      </w:r>
      <w:r w:rsidR="00564B29">
        <w:t>pprov</w:t>
      </w:r>
      <w:r w:rsidR="00D4322A">
        <w:t xml:space="preserve">e </w:t>
      </w:r>
      <w:r w:rsidR="00564B29">
        <w:t>t</w:t>
      </w:r>
      <w:r w:rsidR="00C11613">
        <w:t xml:space="preserve">he </w:t>
      </w:r>
      <w:r w:rsidR="00C11613" w:rsidRPr="00D6697B">
        <w:t xml:space="preserve">entry criteria for </w:t>
      </w:r>
      <w:r w:rsidR="005B24BE">
        <w:t xml:space="preserve">each </w:t>
      </w:r>
      <w:r w:rsidR="00C11613">
        <w:t xml:space="preserve">programme </w:t>
      </w:r>
      <w:r w:rsidR="005B24BE">
        <w:t xml:space="preserve">and </w:t>
      </w:r>
      <w:r w:rsidR="00C11613">
        <w:t xml:space="preserve">short course, including the required level of English language competence, </w:t>
      </w:r>
      <w:r w:rsidR="00C11613" w:rsidRPr="00A96C21">
        <w:t>upon the recommendation of the</w:t>
      </w:r>
      <w:r>
        <w:t xml:space="preserve"> Director of Studies</w:t>
      </w:r>
    </w:p>
    <w:p w:rsidR="00005B20" w:rsidRPr="0089711E" w:rsidRDefault="00005B20" w:rsidP="00005B20">
      <w:pPr>
        <w:pStyle w:val="CoPNumberlevel2"/>
      </w:pPr>
      <w:r>
        <w:lastRenderedPageBreak/>
        <w:t>M</w:t>
      </w:r>
      <w:r w:rsidRPr="00E02DF0">
        <w:t>onitor</w:t>
      </w:r>
      <w:r w:rsidR="00D4322A">
        <w:t xml:space="preserve"> </w:t>
      </w:r>
      <w:r>
        <w:t xml:space="preserve">complaints </w:t>
      </w:r>
      <w:r w:rsidR="00D4322A">
        <w:t xml:space="preserve">about the admissions process </w:t>
      </w:r>
      <w:r>
        <w:t>and</w:t>
      </w:r>
      <w:r w:rsidR="00D4322A">
        <w:t xml:space="preserve"> be responsible for implementing </w:t>
      </w:r>
      <w:r w:rsidRPr="00E02DF0">
        <w:t>cha</w:t>
      </w:r>
      <w:r w:rsidR="00D4322A">
        <w:t>nges in procedure as appropriate</w:t>
      </w:r>
      <w:r>
        <w:t xml:space="preserve"> </w:t>
      </w:r>
    </w:p>
    <w:p w:rsidR="00D4322A" w:rsidRDefault="00C64B92" w:rsidP="00846FB2">
      <w:pPr>
        <w:pStyle w:val="CoPNumberlevel1"/>
      </w:pPr>
      <w:r w:rsidRPr="00A96C21">
        <w:t>The A</w:t>
      </w:r>
      <w:r w:rsidR="003D2EF2">
        <w:t>dmissions and Recruitment Manager</w:t>
      </w:r>
      <w:r w:rsidRPr="00A96C21">
        <w:t xml:space="preserve"> </w:t>
      </w:r>
      <w:r w:rsidR="00D4322A">
        <w:t>will:</w:t>
      </w:r>
    </w:p>
    <w:p w:rsidR="00142C8B" w:rsidRDefault="00F82A90" w:rsidP="00142C8B">
      <w:pPr>
        <w:pStyle w:val="CoPNumberlevel2"/>
      </w:pPr>
      <w:r>
        <w:t xml:space="preserve">Respond to </w:t>
      </w:r>
      <w:r w:rsidR="00C64B92" w:rsidRPr="00A96C21">
        <w:t>complaints from applicants</w:t>
      </w:r>
    </w:p>
    <w:p w:rsidR="00142C8B" w:rsidRDefault="00142C8B" w:rsidP="00142C8B">
      <w:pPr>
        <w:pStyle w:val="CoPNumberlevel2"/>
      </w:pPr>
      <w:r>
        <w:t>A</w:t>
      </w:r>
      <w:r w:rsidR="00564B29">
        <w:t>pprov</w:t>
      </w:r>
      <w:r>
        <w:t xml:space="preserve">e </w:t>
      </w:r>
      <w:r w:rsidR="00564B29">
        <w:t>refunds</w:t>
      </w:r>
      <w:r w:rsidR="00F82A90">
        <w:t xml:space="preserve"> of tuition fees</w:t>
      </w:r>
    </w:p>
    <w:p w:rsidR="00A96C21" w:rsidRDefault="00BD1D0F" w:rsidP="00142C8B">
      <w:pPr>
        <w:pStyle w:val="CoPNumberlevel2"/>
      </w:pPr>
      <w:r>
        <w:t xml:space="preserve">Manage the review process for </w:t>
      </w:r>
      <w:r w:rsidR="00564B29">
        <w:t xml:space="preserve">applications </w:t>
      </w:r>
      <w:r>
        <w:t xml:space="preserve">involving </w:t>
      </w:r>
      <w:r w:rsidR="00142C8B">
        <w:t>recognition of prior learning</w:t>
      </w:r>
    </w:p>
    <w:p w:rsidR="00142C8B" w:rsidRDefault="00564B29" w:rsidP="00846FB2">
      <w:pPr>
        <w:pStyle w:val="CoPNumberlevel1"/>
      </w:pPr>
      <w:r>
        <w:t xml:space="preserve">The </w:t>
      </w:r>
      <w:r w:rsidRPr="00A96C21">
        <w:t>A</w:t>
      </w:r>
      <w:r w:rsidR="005571E4">
        <w:t>dmissions Office</w:t>
      </w:r>
      <w:r>
        <w:t xml:space="preserve"> </w:t>
      </w:r>
      <w:r w:rsidR="00142C8B">
        <w:t xml:space="preserve">will have </w:t>
      </w:r>
      <w:r>
        <w:t>o</w:t>
      </w:r>
      <w:r w:rsidR="00A96C21">
        <w:t>perational r</w:t>
      </w:r>
      <w:r w:rsidR="00ED4A53" w:rsidRPr="00A96C21">
        <w:t xml:space="preserve">esponsibility for </w:t>
      </w:r>
      <w:r>
        <w:t xml:space="preserve">applications to </w:t>
      </w:r>
      <w:r w:rsidR="0040293D">
        <w:t>all programmes.</w:t>
      </w:r>
    </w:p>
    <w:p w:rsidR="00142C8B" w:rsidRDefault="005571E4" w:rsidP="00846FB2">
      <w:pPr>
        <w:pStyle w:val="CoPNumberlevel1"/>
      </w:pPr>
      <w:r>
        <w:t>Admissions Officers</w:t>
      </w:r>
      <w:r w:rsidR="00ED4A53" w:rsidRPr="009E5E1A">
        <w:t xml:space="preserve"> </w:t>
      </w:r>
      <w:r w:rsidR="00142C8B">
        <w:t>will:</w:t>
      </w:r>
    </w:p>
    <w:p w:rsidR="00142C8B" w:rsidRDefault="00142C8B" w:rsidP="00142C8B">
      <w:pPr>
        <w:pStyle w:val="CoPNumberlevel2"/>
      </w:pPr>
      <w:r>
        <w:t>P</w:t>
      </w:r>
      <w:r w:rsidR="00D6697B" w:rsidRPr="00D6697B">
        <w:t>rovid</w:t>
      </w:r>
      <w:r>
        <w:t xml:space="preserve">e </w:t>
      </w:r>
      <w:r w:rsidR="00D6697B" w:rsidRPr="00D6697B">
        <w:t xml:space="preserve">pre-entry advice and guidance to </w:t>
      </w:r>
      <w:r w:rsidR="00D6697B">
        <w:t xml:space="preserve">applicants and </w:t>
      </w:r>
      <w:r w:rsidR="00D6697B" w:rsidRPr="00D6697B">
        <w:t xml:space="preserve">prospective </w:t>
      </w:r>
      <w:r w:rsidR="00D6697B">
        <w:t>applicants</w:t>
      </w:r>
    </w:p>
    <w:p w:rsidR="00ED4A53" w:rsidRPr="009E5E1A" w:rsidRDefault="00142C8B" w:rsidP="00F02F0B">
      <w:pPr>
        <w:pStyle w:val="CoPNumberlevel2"/>
      </w:pPr>
      <w:r>
        <w:t>P</w:t>
      </w:r>
      <w:r w:rsidR="00D6697B">
        <w:t>rocess</w:t>
      </w:r>
      <w:r>
        <w:t xml:space="preserve"> applications, including i</w:t>
      </w:r>
      <w:r w:rsidR="00D6697B" w:rsidRPr="00D6697B">
        <w:t>ssu</w:t>
      </w:r>
      <w:r>
        <w:t xml:space="preserve">ing </w:t>
      </w:r>
      <w:r w:rsidR="00F82A90">
        <w:t xml:space="preserve">applicants with a </w:t>
      </w:r>
      <w:r w:rsidR="00D6697B" w:rsidRPr="005B24BE">
        <w:t>C</w:t>
      </w:r>
      <w:r w:rsidR="00C87DFC" w:rsidRPr="005B24BE">
        <w:t>onfirmation</w:t>
      </w:r>
      <w:r w:rsidR="009B62E2" w:rsidRPr="005B24BE">
        <w:t xml:space="preserve"> of Acceptance for</w:t>
      </w:r>
      <w:r w:rsidR="00C87DFC" w:rsidRPr="005B24BE">
        <w:t xml:space="preserve"> Studies</w:t>
      </w:r>
      <w:r w:rsidR="00F82A90">
        <w:t xml:space="preserve"> </w:t>
      </w:r>
      <w:r w:rsidR="009B62E2">
        <w:t>if applicable</w:t>
      </w:r>
      <w:r w:rsidR="00D6697B">
        <w:t>.</w:t>
      </w:r>
    </w:p>
    <w:p w:rsidR="00ED4A53" w:rsidRDefault="00ED4A53" w:rsidP="00846FB2">
      <w:pPr>
        <w:pStyle w:val="CoPNumberlevel1"/>
      </w:pPr>
      <w:r w:rsidRPr="00D6697B">
        <w:t>Directors of Studies</w:t>
      </w:r>
      <w:r w:rsidRPr="009E5E1A">
        <w:t xml:space="preserve"> </w:t>
      </w:r>
      <w:r w:rsidR="00142C8B">
        <w:t xml:space="preserve">will </w:t>
      </w:r>
      <w:r w:rsidR="00D6697B">
        <w:t>r</w:t>
      </w:r>
      <w:r w:rsidRPr="00D6697B">
        <w:t>eview</w:t>
      </w:r>
      <w:r w:rsidR="00142C8B">
        <w:t xml:space="preserve"> </w:t>
      </w:r>
      <w:r w:rsidRPr="00D6697B">
        <w:t xml:space="preserve">applications </w:t>
      </w:r>
      <w:r w:rsidR="00D6697B">
        <w:t xml:space="preserve">against </w:t>
      </w:r>
      <w:r w:rsidR="00C11613">
        <w:t xml:space="preserve">the entry </w:t>
      </w:r>
      <w:r w:rsidR="00BD1D0F">
        <w:t xml:space="preserve">criteria and </w:t>
      </w:r>
      <w:r w:rsidRPr="00D6697B">
        <w:t>mak</w:t>
      </w:r>
      <w:r w:rsidR="00142C8B">
        <w:t xml:space="preserve">e </w:t>
      </w:r>
      <w:r w:rsidRPr="00D6697B">
        <w:t>decisions on offers to be made</w:t>
      </w:r>
      <w:r w:rsidR="00D6697B">
        <w:t>.</w:t>
      </w:r>
    </w:p>
    <w:p w:rsidR="00A07EB2" w:rsidRDefault="00A07EB2" w:rsidP="00846FB2">
      <w:pPr>
        <w:pStyle w:val="CoPNumberlevel1"/>
      </w:pPr>
      <w:r>
        <w:t xml:space="preserve">The Student Experience Officer </w:t>
      </w:r>
      <w:r w:rsidR="00142C8B">
        <w:t xml:space="preserve">will </w:t>
      </w:r>
      <w:r>
        <w:t>liais</w:t>
      </w:r>
      <w:r w:rsidR="00142C8B">
        <w:t xml:space="preserve">e </w:t>
      </w:r>
      <w:r>
        <w:t xml:space="preserve">with applicants with specific learning </w:t>
      </w:r>
      <w:r w:rsidR="00142C8B">
        <w:t xml:space="preserve">support </w:t>
      </w:r>
      <w:r>
        <w:t xml:space="preserve">needs to ensure that </w:t>
      </w:r>
      <w:r w:rsidRPr="00F22E6A">
        <w:t xml:space="preserve">reasonable adjustments </w:t>
      </w:r>
      <w:r>
        <w:t xml:space="preserve">are put in place. </w:t>
      </w:r>
    </w:p>
    <w:p w:rsidR="00ED4A53" w:rsidRPr="00A07F52" w:rsidRDefault="00ED4A53" w:rsidP="00846FB2">
      <w:pPr>
        <w:pStyle w:val="CoPborderheading"/>
        <w:rPr>
          <w:rFonts w:hint="eastAsia"/>
        </w:rPr>
      </w:pPr>
      <w:bookmarkStart w:id="7" w:name="_Toc342395974"/>
      <w:bookmarkStart w:id="8" w:name="_Toc416683526"/>
      <w:r w:rsidRPr="00A07F52">
        <w:t xml:space="preserve">Making an </w:t>
      </w:r>
      <w:r w:rsidR="00185C41">
        <w:t>A</w:t>
      </w:r>
      <w:r w:rsidRPr="00A07F52">
        <w:t>pplication</w:t>
      </w:r>
      <w:bookmarkEnd w:id="7"/>
      <w:bookmarkEnd w:id="8"/>
    </w:p>
    <w:p w:rsidR="002348B7" w:rsidRPr="0089711E" w:rsidRDefault="00ED4A53" w:rsidP="002348B7">
      <w:pPr>
        <w:pStyle w:val="CoPNumberlevel1"/>
      </w:pPr>
      <w:r w:rsidRPr="00E565B9">
        <w:t xml:space="preserve">Applications </w:t>
      </w:r>
      <w:r w:rsidR="00384F14" w:rsidRPr="00E565B9">
        <w:t xml:space="preserve">should be </w:t>
      </w:r>
      <w:r w:rsidRPr="00E565B9">
        <w:t xml:space="preserve">made via the </w:t>
      </w:r>
      <w:r w:rsidR="00384F14" w:rsidRPr="00E565B9">
        <w:t xml:space="preserve">on-line </w:t>
      </w:r>
      <w:r w:rsidR="000964AF">
        <w:t>admissions link on the LSTM web</w:t>
      </w:r>
      <w:r w:rsidR="00384F14" w:rsidRPr="00E565B9">
        <w:t>site</w:t>
      </w:r>
      <w:r w:rsidR="00BD1D0F">
        <w:t xml:space="preserve"> but can be made in hard copy on request</w:t>
      </w:r>
      <w:r w:rsidR="00384F14" w:rsidRPr="00E565B9">
        <w:t xml:space="preserve">.  </w:t>
      </w:r>
      <w:r w:rsidR="002348B7">
        <w:t>The on-line application process includes guidance notes to assist applicants</w:t>
      </w:r>
      <w:r w:rsidR="001112F4">
        <w:t xml:space="preserve"> and a</w:t>
      </w:r>
      <w:r w:rsidR="002348B7">
        <w:t xml:space="preserve">pplicants will also be given a designated contact at LSTM from whom they can seek individual advice if required.   </w:t>
      </w:r>
    </w:p>
    <w:p w:rsidR="00384F14" w:rsidRPr="00E565B9" w:rsidRDefault="00196210" w:rsidP="00846FB2">
      <w:pPr>
        <w:pStyle w:val="CoPNumberlevel1"/>
      </w:pPr>
      <w:r w:rsidRPr="00E565B9">
        <w:t xml:space="preserve">Deadline dates </w:t>
      </w:r>
      <w:r w:rsidR="001112F4">
        <w:t xml:space="preserve">for applications </w:t>
      </w:r>
      <w:r w:rsidR="009B62E2">
        <w:t xml:space="preserve">will be </w:t>
      </w:r>
      <w:r w:rsidR="00ED4A53" w:rsidRPr="00E565B9">
        <w:t xml:space="preserve">published on the </w:t>
      </w:r>
      <w:r w:rsidR="00384F14" w:rsidRPr="00E565B9">
        <w:t xml:space="preserve">LSTM website. </w:t>
      </w:r>
      <w:r w:rsidRPr="00E565B9">
        <w:t xml:space="preserve">Where a programme </w:t>
      </w:r>
      <w:r w:rsidR="00384F14" w:rsidRPr="00E565B9">
        <w:t xml:space="preserve">or course </w:t>
      </w:r>
      <w:r w:rsidRPr="00E565B9">
        <w:t xml:space="preserve">does not </w:t>
      </w:r>
      <w:r w:rsidR="00ED4A53" w:rsidRPr="00E565B9">
        <w:t xml:space="preserve">have </w:t>
      </w:r>
      <w:r w:rsidRPr="00E565B9">
        <w:t xml:space="preserve">a </w:t>
      </w:r>
      <w:r w:rsidR="00ED4A53" w:rsidRPr="00E565B9">
        <w:t>strict deadline date</w:t>
      </w:r>
      <w:r w:rsidRPr="00E565B9">
        <w:t xml:space="preserve">, </w:t>
      </w:r>
      <w:r w:rsidR="00ED4A53" w:rsidRPr="00E565B9">
        <w:t xml:space="preserve">applicants, particularly </w:t>
      </w:r>
      <w:r w:rsidR="00384F14" w:rsidRPr="00E565B9">
        <w:t xml:space="preserve">those </w:t>
      </w:r>
      <w:r w:rsidR="00ED4A53" w:rsidRPr="00E565B9">
        <w:t xml:space="preserve">coming from overseas, should be realistic about the time it will take to finalise arrangements such as gaining a visa.  Some programmes </w:t>
      </w:r>
      <w:r w:rsidR="00384F14" w:rsidRPr="00E565B9">
        <w:t xml:space="preserve">and </w:t>
      </w:r>
      <w:r w:rsidR="00BD1D0F">
        <w:t xml:space="preserve">short </w:t>
      </w:r>
      <w:r w:rsidR="00384F14" w:rsidRPr="00E565B9">
        <w:t xml:space="preserve">courses </w:t>
      </w:r>
      <w:r w:rsidR="00ED4A53" w:rsidRPr="00E565B9">
        <w:t>are over</w:t>
      </w:r>
      <w:r w:rsidR="00384F14" w:rsidRPr="00E565B9">
        <w:t>-</w:t>
      </w:r>
      <w:r w:rsidR="00ED4A53" w:rsidRPr="00E565B9">
        <w:t>subscribed and are more likely to be full the later the application is submitted.</w:t>
      </w:r>
      <w:r w:rsidR="00384F14" w:rsidRPr="00E565B9">
        <w:t xml:space="preserve"> </w:t>
      </w:r>
    </w:p>
    <w:p w:rsidR="00B17C8A" w:rsidRDefault="00384F14" w:rsidP="00846FB2">
      <w:pPr>
        <w:pStyle w:val="CoPNumberlevel1"/>
      </w:pPr>
      <w:r w:rsidRPr="00E565B9">
        <w:t xml:space="preserve">Hard copies </w:t>
      </w:r>
      <w:r w:rsidR="00E565B9" w:rsidRPr="00E565B9">
        <w:t>of a</w:t>
      </w:r>
      <w:r w:rsidRPr="00E565B9">
        <w:t xml:space="preserve">pplication forms </w:t>
      </w:r>
      <w:r w:rsidR="00E565B9" w:rsidRPr="00E565B9">
        <w:t xml:space="preserve">(including those in alternative formats) </w:t>
      </w:r>
      <w:r w:rsidR="00A07EB2">
        <w:t xml:space="preserve">may </w:t>
      </w:r>
      <w:r w:rsidR="00E565B9" w:rsidRPr="00E565B9">
        <w:t xml:space="preserve">be requested from the </w:t>
      </w:r>
      <w:r w:rsidR="005571E4">
        <w:t xml:space="preserve">Admissions Team by emailing </w:t>
      </w:r>
      <w:hyperlink r:id="rId9" w:history="1">
        <w:r w:rsidR="005571E4" w:rsidRPr="002A2654">
          <w:rPr>
            <w:rStyle w:val="Hyperlink"/>
          </w:rPr>
          <w:t>mylstm@lstmed.ac.uk</w:t>
        </w:r>
      </w:hyperlink>
      <w:r w:rsidR="00E565B9" w:rsidRPr="00E565B9">
        <w:t xml:space="preserve">. </w:t>
      </w:r>
      <w:r w:rsidRPr="00E565B9">
        <w:t xml:space="preserve">  </w:t>
      </w:r>
    </w:p>
    <w:p w:rsidR="00764250" w:rsidRDefault="00B17C8A" w:rsidP="00764250">
      <w:pPr>
        <w:pStyle w:val="CoPNumberlevel1"/>
      </w:pPr>
      <w:r>
        <w:t>Applicants</w:t>
      </w:r>
      <w:r w:rsidRPr="0089711E">
        <w:t xml:space="preserve"> </w:t>
      </w:r>
      <w:r w:rsidR="009B62E2">
        <w:t xml:space="preserve">will be </w:t>
      </w:r>
      <w:r w:rsidRPr="0089711E">
        <w:t xml:space="preserve">required to supply various supporting documents with their application.  </w:t>
      </w:r>
      <w:r w:rsidR="005571E4">
        <w:t>On arrival, s</w:t>
      </w:r>
      <w:r w:rsidRPr="0089711E">
        <w:t>tudents must bring with them the original certificates</w:t>
      </w:r>
      <w:r>
        <w:t xml:space="preserve"> and transcripts</w:t>
      </w:r>
      <w:r w:rsidRPr="0089711E">
        <w:t xml:space="preserve"> of any academic and/or professional qualifications that have been used to prove eligibility for the programme.  </w:t>
      </w:r>
    </w:p>
    <w:p w:rsidR="00ED4A53" w:rsidRPr="00A07F52" w:rsidRDefault="00ED4A53" w:rsidP="00846FB2">
      <w:pPr>
        <w:pStyle w:val="CoPborderheading"/>
        <w:rPr>
          <w:rFonts w:hint="eastAsia"/>
        </w:rPr>
      </w:pPr>
      <w:bookmarkStart w:id="9" w:name="_Toc342395975"/>
      <w:bookmarkStart w:id="10" w:name="_Toc416683527"/>
      <w:r w:rsidRPr="00A07F52">
        <w:lastRenderedPageBreak/>
        <w:t xml:space="preserve">Entry </w:t>
      </w:r>
      <w:bookmarkEnd w:id="9"/>
      <w:r w:rsidR="00FA091E">
        <w:t>Requirements</w:t>
      </w:r>
      <w:bookmarkEnd w:id="10"/>
    </w:p>
    <w:p w:rsidR="001112F4" w:rsidRPr="00A07EB2" w:rsidRDefault="00E565B9" w:rsidP="001112F4">
      <w:pPr>
        <w:pStyle w:val="CoPNumberlevel1"/>
      </w:pPr>
      <w:r>
        <w:t xml:space="preserve">Details of programme-specific entry criteria </w:t>
      </w:r>
      <w:r w:rsidR="001112F4">
        <w:t xml:space="preserve">will be published on the individual programme pages of </w:t>
      </w:r>
      <w:r>
        <w:t>the LSTM website</w:t>
      </w:r>
      <w:r w:rsidR="001112F4">
        <w:t xml:space="preserve">. </w:t>
      </w:r>
      <w:r w:rsidR="001112F4" w:rsidRPr="00FF1CE7">
        <w:t xml:space="preserve">Applicants who have non-standard qualifications </w:t>
      </w:r>
      <w:r w:rsidR="001112F4">
        <w:t xml:space="preserve">will </w:t>
      </w:r>
      <w:r w:rsidR="001112F4" w:rsidRPr="00FF1CE7">
        <w:t>be considered on an individual basis</w:t>
      </w:r>
      <w:r w:rsidR="001112F4">
        <w:t xml:space="preserve">. </w:t>
      </w:r>
      <w:r w:rsidR="001112F4" w:rsidRPr="00145533">
        <w:t>International</w:t>
      </w:r>
      <w:r w:rsidR="001112F4" w:rsidRPr="0089711E">
        <w:t xml:space="preserve"> qualifications will be evaluated on the basis of guidelines from the</w:t>
      </w:r>
      <w:r w:rsidR="001112F4" w:rsidRPr="00A07EB2">
        <w:t xml:space="preserve"> UK National Recogn</w:t>
      </w:r>
      <w:r w:rsidR="00F65068">
        <w:t>ition Information Centre</w:t>
      </w:r>
      <w:r w:rsidR="001112F4" w:rsidRPr="00A07EB2">
        <w:t>.</w:t>
      </w:r>
    </w:p>
    <w:p w:rsidR="009D1568" w:rsidRPr="00A07EB2" w:rsidRDefault="009D1568" w:rsidP="00846FB2">
      <w:pPr>
        <w:pStyle w:val="CoPNumberlevel1"/>
      </w:pPr>
      <w:r w:rsidRPr="00A07EB2">
        <w:t>Details of the required level of English language competence will be</w:t>
      </w:r>
      <w:r w:rsidR="001112F4">
        <w:t xml:space="preserve"> published on the LSTM website.</w:t>
      </w:r>
    </w:p>
    <w:p w:rsidR="009D1568" w:rsidRPr="009E5E1A" w:rsidRDefault="009D1568" w:rsidP="00631145">
      <w:pPr>
        <w:pStyle w:val="CoPNumberlevel1"/>
      </w:pPr>
      <w:r w:rsidRPr="0089711E">
        <w:t>LSTM</w:t>
      </w:r>
      <w:r w:rsidRPr="009E5E1A">
        <w:t xml:space="preserve"> </w:t>
      </w:r>
      <w:r w:rsidRPr="00145533">
        <w:t>recognises</w:t>
      </w:r>
      <w:r w:rsidRPr="009E5E1A">
        <w:t xml:space="preserve"> prior </w:t>
      </w:r>
      <w:r>
        <w:t>l</w:t>
      </w:r>
      <w:r w:rsidRPr="009E5E1A">
        <w:t>earning</w:t>
      </w:r>
      <w:r>
        <w:t xml:space="preserve">, either certified or experiential, </w:t>
      </w:r>
      <w:r w:rsidRPr="009E5E1A">
        <w:t>as a valid route into study on certain programmes</w:t>
      </w:r>
      <w:r>
        <w:t xml:space="preserve">.  </w:t>
      </w:r>
      <w:r w:rsidR="001112F4">
        <w:t xml:space="preserve">The steps to be followed by applicants are detailed in the </w:t>
      </w:r>
      <w:r w:rsidR="001112F4" w:rsidRPr="001112F4">
        <w:rPr>
          <w:i/>
        </w:rPr>
        <w:t>P</w:t>
      </w:r>
      <w:r w:rsidR="001112F4">
        <w:rPr>
          <w:i/>
        </w:rPr>
        <w:t>rocedure for Recognition of Prior L</w:t>
      </w:r>
      <w:r w:rsidR="00631145" w:rsidRPr="00631145">
        <w:rPr>
          <w:i/>
        </w:rPr>
        <w:t>earning</w:t>
      </w:r>
      <w:r w:rsidR="001112F4">
        <w:rPr>
          <w:i/>
        </w:rPr>
        <w:t>.</w:t>
      </w:r>
    </w:p>
    <w:p w:rsidR="00B17C8A" w:rsidRPr="009E5E1A" w:rsidRDefault="009D1568" w:rsidP="00846FB2">
      <w:pPr>
        <w:pStyle w:val="CoPNumberlevel1"/>
      </w:pPr>
      <w:r w:rsidRPr="009E5E1A">
        <w:t xml:space="preserve">Intercalation into certain MSc programmes is </w:t>
      </w:r>
      <w:r>
        <w:t xml:space="preserve">possible </w:t>
      </w:r>
      <w:bookmarkStart w:id="11" w:name="_Toc342395978"/>
      <w:r>
        <w:t>for medical or veterinary s</w:t>
      </w:r>
      <w:r w:rsidRPr="00A07F52">
        <w:t>tudents</w:t>
      </w:r>
      <w:bookmarkEnd w:id="11"/>
      <w:r>
        <w:t xml:space="preserve">.  </w:t>
      </w:r>
      <w:r w:rsidR="00B17C8A" w:rsidRPr="009E5E1A">
        <w:t>Details of th</w:t>
      </w:r>
      <w:r w:rsidR="00B17C8A">
        <w:t xml:space="preserve">e programmes that allow intercalation and the procedure to be followed </w:t>
      </w:r>
      <w:r w:rsidR="001112F4">
        <w:t xml:space="preserve">will be published </w:t>
      </w:r>
      <w:r w:rsidR="00B17C8A" w:rsidRPr="009E5E1A">
        <w:t xml:space="preserve">on the </w:t>
      </w:r>
      <w:r w:rsidR="00B17C8A">
        <w:t>LSTM website.</w:t>
      </w:r>
    </w:p>
    <w:p w:rsidR="009D1568" w:rsidRPr="009E5E1A" w:rsidRDefault="009D1568" w:rsidP="00846FB2">
      <w:pPr>
        <w:pStyle w:val="CoPNumberlevel1"/>
      </w:pPr>
      <w:r>
        <w:t>I</w:t>
      </w:r>
      <w:r w:rsidRPr="009E5E1A">
        <w:t xml:space="preserve">t is </w:t>
      </w:r>
      <w:r w:rsidRPr="0089711E">
        <w:t>possible</w:t>
      </w:r>
      <w:r w:rsidRPr="009E5E1A">
        <w:t xml:space="preserve"> to enrol on individual modules of an MSc programme without meeting the </w:t>
      </w:r>
      <w:r w:rsidRPr="00145533">
        <w:t>minimum</w:t>
      </w:r>
      <w:r w:rsidRPr="009E5E1A">
        <w:t xml:space="preserve"> entry </w:t>
      </w:r>
      <w:r w:rsidRPr="00145533">
        <w:t>requirements</w:t>
      </w:r>
      <w:r w:rsidRPr="009E5E1A">
        <w:t xml:space="preserve"> of the full programme.  However, if applicants intend taking the </w:t>
      </w:r>
      <w:r w:rsidRPr="00145533">
        <w:t>assessment</w:t>
      </w:r>
      <w:r w:rsidRPr="009E5E1A">
        <w:t>(s) for that module</w:t>
      </w:r>
      <w:r w:rsidR="001112F4">
        <w:t xml:space="preserve"> with the </w:t>
      </w:r>
      <w:r w:rsidRPr="009E5E1A">
        <w:t>aim</w:t>
      </w:r>
      <w:r w:rsidR="001112F4">
        <w:t xml:space="preserve"> of </w:t>
      </w:r>
      <w:r w:rsidRPr="009E5E1A">
        <w:t>accru</w:t>
      </w:r>
      <w:r w:rsidR="001112F4">
        <w:t xml:space="preserve">ing </w:t>
      </w:r>
      <w:r w:rsidRPr="009E5E1A">
        <w:t xml:space="preserve">credit </w:t>
      </w:r>
      <w:r w:rsidR="001112F4">
        <w:t>for a</w:t>
      </w:r>
      <w:r w:rsidR="00BD1D0F">
        <w:t xml:space="preserve">n award, </w:t>
      </w:r>
      <w:r w:rsidR="00A07EB2">
        <w:t xml:space="preserve">they must satisfy the </w:t>
      </w:r>
      <w:r w:rsidRPr="009E5E1A">
        <w:t>entry requirements of th</w:t>
      </w:r>
      <w:r w:rsidR="00BD1D0F">
        <w:t xml:space="preserve">e </w:t>
      </w:r>
      <w:r w:rsidRPr="009E5E1A">
        <w:t xml:space="preserve">programme at application stage.  If a module is attended without completing the assessment, a </w:t>
      </w:r>
      <w:r>
        <w:t>C</w:t>
      </w:r>
      <w:r w:rsidRPr="009E5E1A">
        <w:t xml:space="preserve">ertificate of </w:t>
      </w:r>
      <w:r>
        <w:t>A</w:t>
      </w:r>
      <w:r w:rsidRPr="009E5E1A">
        <w:t>ttendance only will be issued.</w:t>
      </w:r>
    </w:p>
    <w:p w:rsidR="009D1568" w:rsidRDefault="00F22E6A" w:rsidP="00846FB2">
      <w:pPr>
        <w:pStyle w:val="CoPNumberlevel1"/>
      </w:pPr>
      <w:r>
        <w:t xml:space="preserve">Compliance with the general and programme entrance </w:t>
      </w:r>
      <w:r w:rsidR="00FA091E">
        <w:t xml:space="preserve">requirements </w:t>
      </w:r>
      <w:r>
        <w:t>does not in itself entitle any student to admission.</w:t>
      </w:r>
      <w:r w:rsidR="003451D3">
        <w:t xml:space="preserve">  </w:t>
      </w:r>
    </w:p>
    <w:p w:rsidR="00F22E6A" w:rsidRDefault="003451D3" w:rsidP="00846FB2">
      <w:pPr>
        <w:pStyle w:val="CoPNumberlevel1"/>
      </w:pPr>
      <w:r>
        <w:t>Registration with LSTM implies acceptance and observance of LSTM’s regulatory framework.</w:t>
      </w:r>
      <w:r w:rsidR="00A07EB2">
        <w:t xml:space="preserve"> </w:t>
      </w:r>
    </w:p>
    <w:p w:rsidR="000627A6" w:rsidRDefault="00116073" w:rsidP="00116073">
      <w:pPr>
        <w:pStyle w:val="CoPborderheading"/>
        <w:rPr>
          <w:rFonts w:hint="eastAsia"/>
        </w:rPr>
      </w:pPr>
      <w:bookmarkStart w:id="12" w:name="_Toc416683528"/>
      <w:r>
        <w:t>Changes to Programmes</w:t>
      </w:r>
      <w:bookmarkEnd w:id="12"/>
    </w:p>
    <w:p w:rsidR="00116073" w:rsidRDefault="00116073" w:rsidP="00846FB2">
      <w:pPr>
        <w:pStyle w:val="CoPNumberlevel1"/>
      </w:pPr>
      <w:r>
        <w:t>LSTM will use all reasonable endeavours to deliver programmes and other services in accordance with the descriptions set out.  However, LSTM reserves the right to make variations to the contents, entrance requirements and methods of delivery, to discontinue programmes and to combine and merge programmes, if such action is reasonable or considered to be necessary by LSTM.  If LSTM discontinues any programme, it will use reasonable endeavours to provide a suitable alternative.</w:t>
      </w:r>
    </w:p>
    <w:p w:rsidR="00116073" w:rsidRDefault="00116073" w:rsidP="00846FB2">
      <w:pPr>
        <w:pStyle w:val="CoPNumberlevel1"/>
      </w:pPr>
      <w:r>
        <w:t>In the unlikely event that LSTM discontinues or makes significant changes to a programme before it begins:</w:t>
      </w:r>
    </w:p>
    <w:p w:rsidR="00116073" w:rsidRDefault="00116073" w:rsidP="00116073">
      <w:pPr>
        <w:pStyle w:val="CoPNumberlevel2"/>
      </w:pPr>
      <w:r>
        <w:t>Prospective students will be informed at the earliest opportunity;</w:t>
      </w:r>
    </w:p>
    <w:p w:rsidR="00116073" w:rsidRDefault="00116073" w:rsidP="00E507A3">
      <w:pPr>
        <w:pStyle w:val="CoPNumberlevel2"/>
      </w:pPr>
      <w:r>
        <w:lastRenderedPageBreak/>
        <w:t xml:space="preserve">Prospective students will be entitled to withdraw from the application process provided </w:t>
      </w:r>
      <w:r w:rsidR="00AE4ED4">
        <w:t>LSTM is</w:t>
      </w:r>
      <w:r>
        <w:t xml:space="preserve"> informed in writing</w:t>
      </w:r>
      <w:r w:rsidR="00AE4ED4">
        <w:t xml:space="preserve">, and an </w:t>
      </w:r>
      <w:r>
        <w:t>appropriate refund of any tuition fees or deposits paid</w:t>
      </w:r>
      <w:r w:rsidR="00AE4ED4">
        <w:t xml:space="preserve"> will be made.</w:t>
      </w:r>
    </w:p>
    <w:p w:rsidR="00AE4ED4" w:rsidRDefault="00AE4ED4" w:rsidP="00AE4ED4">
      <w:pPr>
        <w:pStyle w:val="CoPNumberlevel1"/>
      </w:pPr>
      <w:r>
        <w:t>Programmes may occasionally be modified after they have started.  Optional modules will not normally run if fewer than five students have registered, provided a suitable alternative can be found and the learning outcomes of the programme are not compromised.</w:t>
      </w:r>
    </w:p>
    <w:p w:rsidR="00FF1CE7" w:rsidRPr="00A07F52" w:rsidRDefault="00F22E6A" w:rsidP="00846FB2">
      <w:pPr>
        <w:pStyle w:val="CoPborderheading"/>
        <w:rPr>
          <w:rFonts w:hint="eastAsia"/>
          <w:lang w:eastAsia="zh-CN"/>
        </w:rPr>
      </w:pPr>
      <w:bookmarkStart w:id="13" w:name="_Toc342395982"/>
      <w:bookmarkStart w:id="14" w:name="_Toc416683529"/>
      <w:r>
        <w:t>Equ</w:t>
      </w:r>
      <w:r w:rsidR="000964AF">
        <w:t>al Opportunities</w:t>
      </w:r>
      <w:bookmarkEnd w:id="13"/>
      <w:bookmarkEnd w:id="14"/>
    </w:p>
    <w:p w:rsidR="00C828AE" w:rsidRPr="00142C8B" w:rsidRDefault="00C828AE" w:rsidP="00142C8B">
      <w:pPr>
        <w:pStyle w:val="CoPNumberlevel1"/>
        <w:rPr>
          <w:i/>
        </w:rPr>
      </w:pPr>
      <w:r w:rsidRPr="00E02DF0">
        <w:t>LSTM welcomes applications from all w</w:t>
      </w:r>
      <w:r>
        <w:t>ho have</w:t>
      </w:r>
      <w:r w:rsidRPr="00E02DF0">
        <w:t xml:space="preserve"> the potential to succeed in higher education</w:t>
      </w:r>
      <w:r w:rsidR="00915038">
        <w:t xml:space="preserve"> and provides </w:t>
      </w:r>
      <w:r w:rsidR="00915038" w:rsidRPr="00F22E6A">
        <w:t xml:space="preserve">a supportive and accessible environment for </w:t>
      </w:r>
      <w:r w:rsidR="00915038">
        <w:t xml:space="preserve">all </w:t>
      </w:r>
      <w:r w:rsidR="00915038" w:rsidRPr="00F22E6A">
        <w:t>students</w:t>
      </w:r>
      <w:r w:rsidR="001112F4">
        <w:t xml:space="preserve"> as detailed in the </w:t>
      </w:r>
      <w:r w:rsidR="001112F4" w:rsidRPr="001112F4">
        <w:rPr>
          <w:i/>
        </w:rPr>
        <w:t xml:space="preserve">Code of Practice on </w:t>
      </w:r>
      <w:r w:rsidR="006D6237">
        <w:rPr>
          <w:i/>
        </w:rPr>
        <w:t>Student Support and Welfare</w:t>
      </w:r>
      <w:r w:rsidR="001112F4">
        <w:t>. N</w:t>
      </w:r>
      <w:r w:rsidRPr="00E02DF0">
        <w:t>o applicant will be subjected to less favourable treatment on the grounds of their sex, age, disability, religion, marital or parental status, social background, sexual orientation, or e</w:t>
      </w:r>
      <w:r w:rsidR="008B6CFC">
        <w:t>thnic or national origin. A</w:t>
      </w:r>
      <w:r w:rsidRPr="00E02DF0">
        <w:t xml:space="preserve">dmissions practices are designed to ensure that applicants are treated wholly on the basis of their aptitudes, skills and abilities in relation to their </w:t>
      </w:r>
      <w:r w:rsidR="008B6CFC">
        <w:t>chosen programme</w:t>
      </w:r>
      <w:r w:rsidRPr="00E02DF0">
        <w:t xml:space="preserve"> of study.</w:t>
      </w:r>
    </w:p>
    <w:p w:rsidR="00C828AE" w:rsidRDefault="00915038" w:rsidP="00846FB2">
      <w:pPr>
        <w:pStyle w:val="CoPNumberlevel1"/>
      </w:pPr>
      <w:r>
        <w:t xml:space="preserve">Applicants </w:t>
      </w:r>
      <w:r w:rsidR="00FF1CE7" w:rsidRPr="00F22E6A">
        <w:t>are</w:t>
      </w:r>
      <w:r>
        <w:t xml:space="preserve"> encouraged to indicate </w:t>
      </w:r>
      <w:r w:rsidR="00EC0805">
        <w:t xml:space="preserve">at the application stage </w:t>
      </w:r>
      <w:r>
        <w:t xml:space="preserve">if </w:t>
      </w:r>
      <w:r w:rsidR="00FF1CE7" w:rsidRPr="00F22E6A">
        <w:t>they have specific needs</w:t>
      </w:r>
      <w:r w:rsidR="00F22E6A" w:rsidRPr="00F22E6A">
        <w:t xml:space="preserve"> so that </w:t>
      </w:r>
      <w:r w:rsidR="00F22E6A">
        <w:t xml:space="preserve">these can be discussed </w:t>
      </w:r>
      <w:r w:rsidR="00F22E6A" w:rsidRPr="002C7E71">
        <w:t>with the Stu</w:t>
      </w:r>
      <w:r w:rsidR="00C0017B">
        <w:t xml:space="preserve">dent Experience </w:t>
      </w:r>
      <w:r w:rsidR="00F22E6A" w:rsidRPr="002C7E71">
        <w:t>Officer</w:t>
      </w:r>
      <w:r w:rsidR="00A07EB2">
        <w:t xml:space="preserve">. </w:t>
      </w:r>
      <w:r>
        <w:t>A</w:t>
      </w:r>
      <w:r w:rsidR="00FF1CE7" w:rsidRPr="00F22E6A">
        <w:t>ny disability or health issue will not disadvantage the application</w:t>
      </w:r>
      <w:r w:rsidR="00547C3B">
        <w:t>.</w:t>
      </w:r>
    </w:p>
    <w:p w:rsidR="00FF1CE7" w:rsidRDefault="001471C6" w:rsidP="00846FB2">
      <w:pPr>
        <w:pStyle w:val="CoPNumberlevel1"/>
      </w:pPr>
      <w:bookmarkStart w:id="15" w:name="_Hlk528680576"/>
      <w:r>
        <w:t xml:space="preserve">Applicants must disclose all unspent criminal convictions.  </w:t>
      </w:r>
      <w:r w:rsidR="00FA091E">
        <w:t xml:space="preserve">Having a conviction will not necessarily prevent an applicant from being </w:t>
      </w:r>
      <w:r w:rsidR="00C828AE">
        <w:t xml:space="preserve">offered a place at </w:t>
      </w:r>
      <w:r w:rsidR="00FA091E">
        <w:t>LSTM but</w:t>
      </w:r>
      <w:r>
        <w:t xml:space="preserve"> t</w:t>
      </w:r>
      <w:r w:rsidR="00C828AE" w:rsidRPr="0089711E">
        <w:t xml:space="preserve">he </w:t>
      </w:r>
      <w:r w:rsidR="003D2EF2">
        <w:t xml:space="preserve">Admissions Officer </w:t>
      </w:r>
      <w:r w:rsidR="00C828AE" w:rsidRPr="0089711E">
        <w:t xml:space="preserve">may request further information about the </w:t>
      </w:r>
      <w:r w:rsidR="00C828AE" w:rsidRPr="009E5E1A">
        <w:t>nature</w:t>
      </w:r>
      <w:r w:rsidR="00C828AE" w:rsidRPr="0089711E">
        <w:t xml:space="preserve"> of the conviction or any sentence </w:t>
      </w:r>
      <w:proofErr w:type="gramStart"/>
      <w:r w:rsidR="00C828AE" w:rsidRPr="0089711E">
        <w:t>served</w:t>
      </w:r>
      <w:proofErr w:type="gramEnd"/>
      <w:r w:rsidR="00C828AE" w:rsidRPr="0089711E">
        <w:t xml:space="preserve"> or caution received.</w:t>
      </w:r>
      <w:r w:rsidR="00C828AE">
        <w:t xml:space="preserve"> </w:t>
      </w:r>
      <w:r w:rsidR="00FA091E">
        <w:t>In reaching a decision, LSTM will consider its responsibilities to staff, students and others with whom the applicant may come into contact during the period of study.</w:t>
      </w:r>
    </w:p>
    <w:p w:rsidR="00ED4A53" w:rsidRPr="00A07F52" w:rsidRDefault="00ED4A53" w:rsidP="00846FB2">
      <w:pPr>
        <w:pStyle w:val="CoPborderheading"/>
        <w:rPr>
          <w:rFonts w:hint="eastAsia"/>
        </w:rPr>
      </w:pPr>
      <w:bookmarkStart w:id="16" w:name="_Toc342395985"/>
      <w:bookmarkStart w:id="17" w:name="_Toc416683530"/>
      <w:bookmarkEnd w:id="15"/>
      <w:r w:rsidRPr="00A07F52">
        <w:t xml:space="preserve">The </w:t>
      </w:r>
      <w:r w:rsidR="00D4060F">
        <w:t>A</w:t>
      </w:r>
      <w:r w:rsidRPr="00A07F52">
        <w:t xml:space="preserve">pplication </w:t>
      </w:r>
      <w:r w:rsidR="00D4060F">
        <w:t>P</w:t>
      </w:r>
      <w:r w:rsidRPr="00A07F52">
        <w:t>rocess (</w:t>
      </w:r>
      <w:r w:rsidR="00B17C8A">
        <w:t>Taught programmes</w:t>
      </w:r>
      <w:r w:rsidRPr="00A07F52">
        <w:t>)</w:t>
      </w:r>
      <w:bookmarkEnd w:id="16"/>
      <w:bookmarkEnd w:id="17"/>
    </w:p>
    <w:p w:rsidR="008B6CFC" w:rsidRDefault="008B6CFC" w:rsidP="00846FB2">
      <w:pPr>
        <w:pStyle w:val="CoPNumberlevel1"/>
      </w:pPr>
      <w:r>
        <w:t xml:space="preserve">Applicants will receive an automatic acknowledgement upon submission of their </w:t>
      </w:r>
      <w:r w:rsidR="00ED4A53" w:rsidRPr="0042383C">
        <w:t>application</w:t>
      </w:r>
      <w:r>
        <w:t>.</w:t>
      </w:r>
      <w:r w:rsidR="00974334">
        <w:t xml:space="preserve"> A</w:t>
      </w:r>
      <w:r w:rsidR="005709FB">
        <w:t xml:space="preserve">pplicants </w:t>
      </w:r>
      <w:r w:rsidR="00ED4A53" w:rsidRPr="0042383C">
        <w:t>wh</w:t>
      </w:r>
      <w:r w:rsidR="005709FB">
        <w:t xml:space="preserve">o submit complete applications </w:t>
      </w:r>
      <w:r w:rsidR="00ED4A53" w:rsidRPr="0042383C">
        <w:t xml:space="preserve">will normally receive a decision within </w:t>
      </w:r>
      <w:r>
        <w:t xml:space="preserve">fifteen </w:t>
      </w:r>
      <w:r w:rsidR="00ED4A53" w:rsidRPr="0042383C">
        <w:t>working days</w:t>
      </w:r>
      <w:r w:rsidR="00547C3B">
        <w:t>.</w:t>
      </w:r>
    </w:p>
    <w:p w:rsidR="008B6CFC" w:rsidRDefault="00974334" w:rsidP="00846FB2">
      <w:pPr>
        <w:pStyle w:val="CoPNumberlevel1"/>
      </w:pPr>
      <w:r>
        <w:t xml:space="preserve">Offers will be made to successful </w:t>
      </w:r>
      <w:proofErr w:type="gramStart"/>
      <w:r>
        <w:t>applicants</w:t>
      </w:r>
      <w:proofErr w:type="gramEnd"/>
      <w:r>
        <w:t xml:space="preserve"> subject to meeting c</w:t>
      </w:r>
      <w:r w:rsidR="00ED4A53" w:rsidRPr="0042383C">
        <w:t xml:space="preserve">onditions </w:t>
      </w:r>
      <w:r>
        <w:t xml:space="preserve">with respect to </w:t>
      </w:r>
      <w:r w:rsidR="00ED4A53" w:rsidRPr="0042383C">
        <w:t>paym</w:t>
      </w:r>
      <w:r>
        <w:t>ent of advance fee (or full fee</w:t>
      </w:r>
      <w:r w:rsidR="00ED4A53" w:rsidRPr="0042383C">
        <w:t xml:space="preserve"> if appropriate), proof of funding, achievement of required de</w:t>
      </w:r>
      <w:r>
        <w:t xml:space="preserve">gree classification and </w:t>
      </w:r>
      <w:r w:rsidR="00ED4A53" w:rsidRPr="0042383C">
        <w:t>the requi</w:t>
      </w:r>
      <w:r>
        <w:t xml:space="preserve">red level of English language. Applicants </w:t>
      </w:r>
      <w:r w:rsidR="0042383C" w:rsidRPr="0042383C">
        <w:t xml:space="preserve">whose fee status cannot be determined </w:t>
      </w:r>
      <w:r>
        <w:t xml:space="preserve">from </w:t>
      </w:r>
      <w:r w:rsidR="0042383C" w:rsidRPr="0042383C">
        <w:t xml:space="preserve">their application will be </w:t>
      </w:r>
      <w:r>
        <w:t xml:space="preserve">asked to complete </w:t>
      </w:r>
      <w:r w:rsidR="0098423E">
        <w:t xml:space="preserve">a </w:t>
      </w:r>
      <w:r w:rsidR="0098423E" w:rsidRPr="0042383C">
        <w:t>Fee</w:t>
      </w:r>
      <w:r>
        <w:t xml:space="preserve"> Status Questionnaire</w:t>
      </w:r>
      <w:r w:rsidR="00547C3B">
        <w:t>.</w:t>
      </w:r>
    </w:p>
    <w:p w:rsidR="00764250" w:rsidRDefault="00764250" w:rsidP="001112F4">
      <w:pPr>
        <w:pStyle w:val="CoPNumberlevel1"/>
      </w:pPr>
      <w:r>
        <w:lastRenderedPageBreak/>
        <w:t>Details of scholarships available</w:t>
      </w:r>
      <w:r w:rsidRPr="00764250">
        <w:t xml:space="preserve"> </w:t>
      </w:r>
      <w:r w:rsidR="004571B5">
        <w:t xml:space="preserve">to </w:t>
      </w:r>
      <w:r w:rsidR="004571B5" w:rsidRPr="00764250">
        <w:t>students offered a conditional place</w:t>
      </w:r>
      <w:r w:rsidR="004571B5">
        <w:t xml:space="preserve"> </w:t>
      </w:r>
      <w:r>
        <w:t>will be advertised on the LSTM web site</w:t>
      </w:r>
      <w:r w:rsidR="001112F4">
        <w:t xml:space="preserve"> and will be considered according to the </w:t>
      </w:r>
      <w:r w:rsidR="001112F4">
        <w:rPr>
          <w:i/>
        </w:rPr>
        <w:t>Procedure for Awarding S</w:t>
      </w:r>
      <w:r w:rsidRPr="00764250">
        <w:rPr>
          <w:i/>
        </w:rPr>
        <w:t xml:space="preserve">cholarships for </w:t>
      </w:r>
      <w:r w:rsidR="001112F4">
        <w:rPr>
          <w:i/>
        </w:rPr>
        <w:t>Taught P</w:t>
      </w:r>
      <w:r w:rsidRPr="00764250">
        <w:rPr>
          <w:i/>
        </w:rPr>
        <w:t>rogrammes</w:t>
      </w:r>
      <w:r>
        <w:t>.</w:t>
      </w:r>
    </w:p>
    <w:p w:rsidR="008B6CFC" w:rsidRDefault="00ED4A53" w:rsidP="00846FB2">
      <w:pPr>
        <w:pStyle w:val="CoPNumberlevel1"/>
      </w:pPr>
      <w:r w:rsidRPr="0089711E">
        <w:t>Once a</w:t>
      </w:r>
      <w:r w:rsidR="004571B5">
        <w:t>ll c</w:t>
      </w:r>
      <w:r w:rsidR="00974334">
        <w:t xml:space="preserve">onditions have been met, </w:t>
      </w:r>
      <w:r w:rsidR="00DE2B7E">
        <w:t>applicants</w:t>
      </w:r>
      <w:r w:rsidRPr="0089711E">
        <w:t xml:space="preserve"> </w:t>
      </w:r>
      <w:r w:rsidR="00974334">
        <w:t xml:space="preserve">will be </w:t>
      </w:r>
      <w:r w:rsidRPr="0089711E">
        <w:t xml:space="preserve">issued with a </w:t>
      </w:r>
      <w:r w:rsidRPr="009E5E1A">
        <w:t>Confirmation</w:t>
      </w:r>
      <w:r w:rsidRPr="0089711E">
        <w:t xml:space="preserve"> of Place letter and a CAS</w:t>
      </w:r>
      <w:r w:rsidR="00974334">
        <w:t xml:space="preserve"> where applicable.</w:t>
      </w:r>
    </w:p>
    <w:p w:rsidR="00254AE6" w:rsidRPr="008B6CFC" w:rsidRDefault="00ED4A53" w:rsidP="00846FB2">
      <w:pPr>
        <w:pStyle w:val="CoPNumberlevel1"/>
      </w:pPr>
      <w:r w:rsidRPr="008B6CFC">
        <w:t xml:space="preserve">Prior to arrival, prospective students </w:t>
      </w:r>
      <w:r w:rsidR="008B6CFC">
        <w:t xml:space="preserve">will be </w:t>
      </w:r>
      <w:r w:rsidRPr="008B6CFC">
        <w:t xml:space="preserve">sent additional information </w:t>
      </w:r>
      <w:r w:rsidR="00BB2003">
        <w:t>regarding induction and registration</w:t>
      </w:r>
      <w:r w:rsidRPr="008B6CFC">
        <w:t>.</w:t>
      </w:r>
    </w:p>
    <w:p w:rsidR="00ED4A53" w:rsidRPr="00A07F52" w:rsidRDefault="00ED4A53" w:rsidP="00846FB2">
      <w:pPr>
        <w:pStyle w:val="CoPborderheading"/>
        <w:rPr>
          <w:rFonts w:hint="eastAsia"/>
        </w:rPr>
      </w:pPr>
      <w:bookmarkStart w:id="18" w:name="_Toc342395986"/>
      <w:bookmarkStart w:id="19" w:name="_Toc416683531"/>
      <w:r w:rsidRPr="00A07F52">
        <w:t xml:space="preserve">The </w:t>
      </w:r>
      <w:r w:rsidR="0020508F">
        <w:t>A</w:t>
      </w:r>
      <w:r w:rsidRPr="00A07F52">
        <w:t xml:space="preserve">pplication </w:t>
      </w:r>
      <w:r w:rsidR="0020508F">
        <w:t>P</w:t>
      </w:r>
      <w:r w:rsidR="00C828AE">
        <w:t>rocess (</w:t>
      </w:r>
      <w:r w:rsidRPr="00A07F52">
        <w:t>Research</w:t>
      </w:r>
      <w:r w:rsidR="00C828AE">
        <w:t xml:space="preserve"> Programmes</w:t>
      </w:r>
      <w:r w:rsidRPr="00A07F52">
        <w:t>)</w:t>
      </w:r>
      <w:bookmarkEnd w:id="18"/>
      <w:bookmarkEnd w:id="19"/>
    </w:p>
    <w:p w:rsidR="00F07751" w:rsidRPr="00F07751" w:rsidRDefault="00F07751" w:rsidP="00F07751">
      <w:pPr>
        <w:pStyle w:val="CoPNumberlevel1"/>
      </w:pPr>
      <w:r>
        <w:t xml:space="preserve">Further information about the application processes for research degrees can be found in the </w:t>
      </w:r>
      <w:r w:rsidRPr="00F07751">
        <w:rPr>
          <w:i/>
        </w:rPr>
        <w:t>Code of Practice on Postgraduate Research Degrees</w:t>
      </w:r>
      <w:r>
        <w:rPr>
          <w:i/>
        </w:rPr>
        <w:t>.</w:t>
      </w:r>
      <w:r w:rsidRPr="00F07751">
        <w:t xml:space="preserve">  </w:t>
      </w:r>
    </w:p>
    <w:p w:rsidR="008B6CFC" w:rsidRDefault="00D450C2" w:rsidP="00F07751">
      <w:pPr>
        <w:pStyle w:val="CoPNumberlevel1"/>
      </w:pPr>
      <w:r w:rsidRPr="009E5E1A">
        <w:t>Applications to undertake a research degree (PhD</w:t>
      </w:r>
      <w:r>
        <w:t>, M</w:t>
      </w:r>
      <w:r w:rsidRPr="009E5E1A">
        <w:t>Phil</w:t>
      </w:r>
      <w:r>
        <w:t xml:space="preserve"> or MD</w:t>
      </w:r>
      <w:r w:rsidRPr="009E5E1A">
        <w:t xml:space="preserve">) may be made </w:t>
      </w:r>
      <w:r w:rsidRPr="00145533">
        <w:t>specu</w:t>
      </w:r>
      <w:r w:rsidRPr="0089711E">
        <w:t>latively or in re</w:t>
      </w:r>
      <w:r w:rsidR="00547C3B">
        <w:t>sponse to an advertised call.</w:t>
      </w:r>
      <w:r w:rsidR="00F07751">
        <w:t xml:space="preserve"> </w:t>
      </w:r>
      <w:r w:rsidR="008B6CFC">
        <w:t xml:space="preserve">Applicants will receive an automatic acknowledgement upon submission of their </w:t>
      </w:r>
      <w:r w:rsidR="008B6CFC" w:rsidRPr="0042383C">
        <w:t>application</w:t>
      </w:r>
      <w:r w:rsidR="008B6CFC">
        <w:t>.</w:t>
      </w:r>
      <w:r w:rsidR="00F07751">
        <w:t xml:space="preserve"> </w:t>
      </w:r>
    </w:p>
    <w:p w:rsidR="00ED4A53" w:rsidRPr="0089711E" w:rsidRDefault="008B6CFC" w:rsidP="00F50B8C">
      <w:pPr>
        <w:pStyle w:val="CoPNumberlevel1"/>
      </w:pPr>
      <w:r>
        <w:t>For advertised studentships, s</w:t>
      </w:r>
      <w:r w:rsidR="00ED4A53" w:rsidRPr="009E5E1A">
        <w:t xml:space="preserve">hort-listed </w:t>
      </w:r>
      <w:r w:rsidR="00DE2B7E">
        <w:t>applicants</w:t>
      </w:r>
      <w:r w:rsidR="00ED4A53" w:rsidRPr="009E5E1A">
        <w:t xml:space="preserve"> </w:t>
      </w:r>
      <w:r>
        <w:t xml:space="preserve">will be </w:t>
      </w:r>
      <w:r w:rsidR="00ED4A53" w:rsidRPr="009E5E1A">
        <w:t>invited for interview and places awarded based on student quality.</w:t>
      </w:r>
      <w:r w:rsidR="00BB2003">
        <w:t xml:space="preserve"> </w:t>
      </w:r>
      <w:r w:rsidR="005709FB">
        <w:t>S</w:t>
      </w:r>
      <w:r w:rsidR="00ED4A53" w:rsidRPr="00145533">
        <w:t>peculative</w:t>
      </w:r>
      <w:r w:rsidR="00ED4A53" w:rsidRPr="0089711E">
        <w:t xml:space="preserve"> applications</w:t>
      </w:r>
      <w:r>
        <w:t xml:space="preserve"> </w:t>
      </w:r>
      <w:r w:rsidR="005709FB">
        <w:t xml:space="preserve">will be circulated </w:t>
      </w:r>
      <w:r w:rsidR="00ED4A53" w:rsidRPr="0089711E">
        <w:t xml:space="preserve">to </w:t>
      </w:r>
      <w:r>
        <w:t xml:space="preserve">potential </w:t>
      </w:r>
      <w:r w:rsidR="00BB2003">
        <w:t xml:space="preserve">supervisors </w:t>
      </w:r>
      <w:r w:rsidR="005709FB">
        <w:t>and applicants will normally be given a de</w:t>
      </w:r>
      <w:r w:rsidR="00547C3B">
        <w:t>cision within 20 working days.</w:t>
      </w:r>
      <w:r w:rsidR="00D65F7C">
        <w:t xml:space="preserve"> </w:t>
      </w:r>
    </w:p>
    <w:p w:rsidR="00BB2003" w:rsidRDefault="005709FB" w:rsidP="00846FB2">
      <w:pPr>
        <w:pStyle w:val="CoPNumberlevel1"/>
      </w:pPr>
      <w:r>
        <w:t xml:space="preserve">Applicants may register to study either ‘on-site’ </w:t>
      </w:r>
      <w:r w:rsidR="00084650">
        <w:t xml:space="preserve">or </w:t>
      </w:r>
      <w:r w:rsidR="00ED4A53" w:rsidRPr="0089711E">
        <w:t xml:space="preserve">‘off-site’ </w:t>
      </w:r>
      <w:r w:rsidR="00084650">
        <w:t>(</w:t>
      </w:r>
      <w:r>
        <w:t xml:space="preserve">where </w:t>
      </w:r>
      <w:r w:rsidR="00ED4A53" w:rsidRPr="0089711E">
        <w:t xml:space="preserve">the </w:t>
      </w:r>
      <w:r>
        <w:t xml:space="preserve">entire </w:t>
      </w:r>
      <w:r w:rsidR="00ED4A53" w:rsidRPr="0089711E">
        <w:t xml:space="preserve">research project is </w:t>
      </w:r>
      <w:r>
        <w:t>conducted off-campus</w:t>
      </w:r>
      <w:r w:rsidR="00084650">
        <w:t>)</w:t>
      </w:r>
      <w:r w:rsidR="00547C3B">
        <w:t>.</w:t>
      </w:r>
    </w:p>
    <w:p w:rsidR="00D47BFE" w:rsidRDefault="00D47BFE" w:rsidP="00846FB2">
      <w:pPr>
        <w:pStyle w:val="CoPNumberlevel1"/>
      </w:pPr>
      <w:r w:rsidRPr="00BB2003">
        <w:t xml:space="preserve">Prior to arrival, prospective students </w:t>
      </w:r>
      <w:r w:rsidR="00BB2003">
        <w:t xml:space="preserve">will be </w:t>
      </w:r>
      <w:r w:rsidRPr="00BB2003">
        <w:t xml:space="preserve">sent additional information </w:t>
      </w:r>
      <w:r w:rsidR="00BB2003">
        <w:t>regarding induction and registration</w:t>
      </w:r>
      <w:r w:rsidRPr="00BB2003">
        <w:t>.</w:t>
      </w:r>
    </w:p>
    <w:p w:rsidR="0033286B" w:rsidRDefault="00A07EB2" w:rsidP="00846FB2">
      <w:pPr>
        <w:pStyle w:val="CoPNumberlevel1"/>
      </w:pPr>
      <w:r>
        <w:t>Research s</w:t>
      </w:r>
      <w:r w:rsidR="0033286B">
        <w:t>tudents will be registered from the 1</w:t>
      </w:r>
      <w:r w:rsidR="0033286B" w:rsidRPr="00BE1727">
        <w:rPr>
          <w:vertAlign w:val="superscript"/>
        </w:rPr>
        <w:t>st</w:t>
      </w:r>
      <w:r w:rsidR="0033286B">
        <w:t xml:space="preserve"> day of the month in which they commence their studies.</w:t>
      </w:r>
    </w:p>
    <w:p w:rsidR="000964AF" w:rsidRPr="00A07F52" w:rsidRDefault="000964AF" w:rsidP="00846FB2">
      <w:pPr>
        <w:pStyle w:val="CoPborderheading"/>
        <w:rPr>
          <w:rFonts w:hint="eastAsia"/>
        </w:rPr>
      </w:pPr>
      <w:bookmarkStart w:id="20" w:name="_Toc342395979"/>
      <w:bookmarkStart w:id="21" w:name="_Toc416683532"/>
      <w:bookmarkStart w:id="22" w:name="_Toc342395983"/>
      <w:r>
        <w:t>D</w:t>
      </w:r>
      <w:r w:rsidRPr="00A07F52">
        <w:t xml:space="preserve">eferred </w:t>
      </w:r>
      <w:r>
        <w:t>E</w:t>
      </w:r>
      <w:r w:rsidRPr="00A07F52">
        <w:t>ntry</w:t>
      </w:r>
      <w:bookmarkEnd w:id="20"/>
      <w:bookmarkEnd w:id="21"/>
    </w:p>
    <w:p w:rsidR="00F93752" w:rsidRDefault="00084650" w:rsidP="00846FB2">
      <w:pPr>
        <w:pStyle w:val="CoPNumberlevel1"/>
      </w:pPr>
      <w:r>
        <w:t>A</w:t>
      </w:r>
      <w:r w:rsidR="000964AF" w:rsidRPr="00145533">
        <w:t>pplicant</w:t>
      </w:r>
      <w:r w:rsidR="00D65F7C">
        <w:t>s</w:t>
      </w:r>
      <w:r w:rsidR="000964AF" w:rsidRPr="0089711E">
        <w:t xml:space="preserve"> may </w:t>
      </w:r>
      <w:r>
        <w:t xml:space="preserve">be granted </w:t>
      </w:r>
      <w:r w:rsidR="000964AF" w:rsidRPr="0089711E">
        <w:t>defer</w:t>
      </w:r>
      <w:r>
        <w:t xml:space="preserve">red </w:t>
      </w:r>
      <w:r w:rsidR="000964AF" w:rsidRPr="0089711E">
        <w:t>entry</w:t>
      </w:r>
      <w:r>
        <w:t xml:space="preserve"> on one occasion, which must be within a year</w:t>
      </w:r>
      <w:r w:rsidR="00547C3B">
        <w:t xml:space="preserve"> of their original application.</w:t>
      </w:r>
    </w:p>
    <w:p w:rsidR="000964AF" w:rsidRDefault="00084650" w:rsidP="00846FB2">
      <w:pPr>
        <w:pStyle w:val="CoPNumberlevel1"/>
      </w:pPr>
      <w:r>
        <w:t xml:space="preserve">Any fees paid in advance </w:t>
      </w:r>
      <w:r w:rsidR="00A07EB2">
        <w:t xml:space="preserve">will </w:t>
      </w:r>
      <w:r>
        <w:t xml:space="preserve">be </w:t>
      </w:r>
      <w:r w:rsidR="00F93752">
        <w:t xml:space="preserve">dealt with in accordance with the </w:t>
      </w:r>
      <w:r w:rsidR="007E6E0E">
        <w:rPr>
          <w:i/>
        </w:rPr>
        <w:t>Code of Practice on Payment and Refund of Tuition F</w:t>
      </w:r>
      <w:r w:rsidR="00F93752" w:rsidRPr="00F93752">
        <w:rPr>
          <w:i/>
        </w:rPr>
        <w:t>ees</w:t>
      </w:r>
      <w:r w:rsidR="00547C3B">
        <w:t>.</w:t>
      </w:r>
    </w:p>
    <w:p w:rsidR="00815CD2" w:rsidRPr="00A07F52" w:rsidRDefault="00F82A90" w:rsidP="00846FB2">
      <w:pPr>
        <w:pStyle w:val="CoPborderheading"/>
        <w:rPr>
          <w:rFonts w:hint="eastAsia"/>
        </w:rPr>
      </w:pPr>
      <w:bookmarkStart w:id="23" w:name="_Toc342395987"/>
      <w:bookmarkStart w:id="24" w:name="_Toc416683533"/>
      <w:r>
        <w:lastRenderedPageBreak/>
        <w:t>Unsuccessful A</w:t>
      </w:r>
      <w:r w:rsidR="00815CD2">
        <w:t>pplications</w:t>
      </w:r>
      <w:bookmarkEnd w:id="23"/>
      <w:bookmarkEnd w:id="24"/>
    </w:p>
    <w:p w:rsidR="00815CD2" w:rsidRDefault="00815CD2" w:rsidP="00846FB2">
      <w:pPr>
        <w:pStyle w:val="CoPNumberlevel1"/>
      </w:pPr>
      <w:r>
        <w:t>U</w:t>
      </w:r>
      <w:r w:rsidRPr="0089711E">
        <w:t xml:space="preserve">nsuccessful </w:t>
      </w:r>
      <w:r>
        <w:t>applicants</w:t>
      </w:r>
      <w:r w:rsidRPr="00145533">
        <w:t xml:space="preserve"> </w:t>
      </w:r>
      <w:r>
        <w:t>will be given feedback on their application.</w:t>
      </w:r>
    </w:p>
    <w:p w:rsidR="00815CD2" w:rsidRDefault="00815CD2" w:rsidP="00846FB2">
      <w:pPr>
        <w:pStyle w:val="CoPNumberlevel1"/>
      </w:pPr>
      <w:r>
        <w:t>LSTM will not provide feedback to anyone other than the applicant unless granted written permiss</w:t>
      </w:r>
      <w:r w:rsidR="00547C3B">
        <w:t>ion to do so by the applicant.</w:t>
      </w:r>
    </w:p>
    <w:p w:rsidR="00815CD2" w:rsidRDefault="00815CD2" w:rsidP="00846FB2">
      <w:pPr>
        <w:pStyle w:val="CoPNumberlevel1"/>
      </w:pPr>
      <w:r w:rsidRPr="00145533">
        <w:t>Applicants</w:t>
      </w:r>
      <w:r w:rsidRPr="0089711E">
        <w:t xml:space="preserve"> </w:t>
      </w:r>
      <w:r>
        <w:t xml:space="preserve">who </w:t>
      </w:r>
      <w:r w:rsidRPr="0089711E">
        <w:t xml:space="preserve">are rejected for a specific programme may be offered a place on an </w:t>
      </w:r>
      <w:r w:rsidRPr="009E5E1A">
        <w:t>alternative</w:t>
      </w:r>
      <w:r w:rsidRPr="0089711E">
        <w:t xml:space="preserve"> programme if appropriate without re-application.</w:t>
      </w:r>
    </w:p>
    <w:p w:rsidR="00815CD2" w:rsidRDefault="00815CD2" w:rsidP="00D01ED0">
      <w:pPr>
        <w:pStyle w:val="CoPNumberlevel1"/>
      </w:pPr>
      <w:r w:rsidRPr="00145533">
        <w:t>Applicants</w:t>
      </w:r>
      <w:r w:rsidRPr="0089711E">
        <w:t xml:space="preserve"> who have been rejected in a previous academic year may apply for </w:t>
      </w:r>
      <w:r w:rsidRPr="009E5E1A">
        <w:t>the</w:t>
      </w:r>
      <w:r w:rsidRPr="0089711E">
        <w:t xml:space="preserve"> same programme again if their circumstances have changed, or for an alternative programme if the</w:t>
      </w:r>
      <w:r>
        <w:t xml:space="preserve">y meet the </w:t>
      </w:r>
      <w:r w:rsidRPr="0089711E">
        <w:t>entry requirements</w:t>
      </w:r>
      <w:r>
        <w:t xml:space="preserve">.  </w:t>
      </w:r>
      <w:r w:rsidRPr="0089711E">
        <w:t>In both cases it will be necessar</w:t>
      </w:r>
      <w:r w:rsidR="00547C3B">
        <w:t>y to submit a new application.</w:t>
      </w:r>
      <w:r w:rsidR="00D65F7C">
        <w:t xml:space="preserve"> </w:t>
      </w:r>
      <w:r w:rsidRPr="0089711E">
        <w:t>It is unlikely that a</w:t>
      </w:r>
      <w:r>
        <w:t>n application for a research</w:t>
      </w:r>
      <w:r w:rsidRPr="0089711E">
        <w:t xml:space="preserve"> </w:t>
      </w:r>
      <w:r>
        <w:t xml:space="preserve">programme </w:t>
      </w:r>
      <w:r w:rsidRPr="0089711E">
        <w:t xml:space="preserve">will be reconsidered unless the research proposal has changed </w:t>
      </w:r>
      <w:r>
        <w:t xml:space="preserve">significantly </w:t>
      </w:r>
      <w:r w:rsidRPr="0089711E">
        <w:t xml:space="preserve">or funding has been obtained </w:t>
      </w:r>
      <w:r w:rsidR="0099136D">
        <w:t xml:space="preserve">that </w:t>
      </w:r>
      <w:r w:rsidRPr="0089711E">
        <w:t>was not previously available</w:t>
      </w:r>
      <w:r w:rsidR="00547C3B">
        <w:t>.</w:t>
      </w:r>
    </w:p>
    <w:p w:rsidR="00815CD2" w:rsidRPr="0089711E" w:rsidRDefault="00815CD2" w:rsidP="00846FB2">
      <w:pPr>
        <w:pStyle w:val="CoPNumberlevel1"/>
      </w:pPr>
      <w:r w:rsidRPr="009E5E1A">
        <w:t>Applicants</w:t>
      </w:r>
      <w:r w:rsidRPr="0089711E">
        <w:t xml:space="preserve"> who have been rejected on the grounds that they supplied fraudulent information or documents will not be considered for re-application.</w:t>
      </w:r>
    </w:p>
    <w:p w:rsidR="00ED4A53" w:rsidRPr="00A07F52" w:rsidRDefault="00ED4A53" w:rsidP="00846FB2">
      <w:pPr>
        <w:pStyle w:val="CoPborderheading"/>
        <w:rPr>
          <w:rFonts w:hint="eastAsia"/>
        </w:rPr>
      </w:pPr>
      <w:bookmarkStart w:id="25" w:name="_Toc342395989"/>
      <w:bookmarkStart w:id="26" w:name="_Toc416683534"/>
      <w:bookmarkEnd w:id="22"/>
      <w:r w:rsidRPr="00A07F52">
        <w:t>Complaints</w:t>
      </w:r>
      <w:bookmarkEnd w:id="25"/>
      <w:bookmarkEnd w:id="26"/>
    </w:p>
    <w:p w:rsidR="00396905" w:rsidRPr="00396905" w:rsidRDefault="000D7265" w:rsidP="00396905">
      <w:pPr>
        <w:pStyle w:val="CoPNumberlevel1"/>
      </w:pPr>
      <w:r w:rsidRPr="000D7265">
        <w:t>LSTM will ensure that all complaints from applicants are treated seriously</w:t>
      </w:r>
      <w:r w:rsidR="00F30E62">
        <w:t xml:space="preserve"> and </w:t>
      </w:r>
      <w:r w:rsidRPr="000D7265">
        <w:t>constructively</w:t>
      </w:r>
      <w:r>
        <w:t xml:space="preserve"> and are </w:t>
      </w:r>
      <w:r w:rsidRPr="000D7265">
        <w:t>dealt with promptly, with fairness and consistency</w:t>
      </w:r>
      <w:r w:rsidR="004B602A">
        <w:t xml:space="preserve">.  </w:t>
      </w:r>
      <w:r w:rsidR="00396905">
        <w:t xml:space="preserve">The steps to be followed are detailed in the </w:t>
      </w:r>
      <w:r w:rsidR="00396905" w:rsidRPr="00396905">
        <w:rPr>
          <w:i/>
        </w:rPr>
        <w:t xml:space="preserve">Procedure for </w:t>
      </w:r>
      <w:r w:rsidR="00940293">
        <w:rPr>
          <w:i/>
        </w:rPr>
        <w:t>Dealing with Student complaints</w:t>
      </w:r>
      <w:r w:rsidR="00396905">
        <w:t>.</w:t>
      </w:r>
    </w:p>
    <w:p w:rsidR="000964AF" w:rsidRDefault="00ED4A53" w:rsidP="00846FB2">
      <w:pPr>
        <w:pStyle w:val="CoPNumberlevel1"/>
      </w:pPr>
      <w:r w:rsidRPr="0089711E">
        <w:t xml:space="preserve">Applicants may </w:t>
      </w:r>
      <w:r w:rsidR="00396905">
        <w:t xml:space="preserve">complain about </w:t>
      </w:r>
      <w:r w:rsidRPr="0089711E">
        <w:t>a selection decision only if it appears that the</w:t>
      </w:r>
      <w:r w:rsidR="004B602A">
        <w:t xml:space="preserve">re have been procedural irregularities in relation to this </w:t>
      </w:r>
      <w:r w:rsidRPr="0089711E">
        <w:t xml:space="preserve">Code of </w:t>
      </w:r>
      <w:r w:rsidR="002F663B" w:rsidRPr="0089711E">
        <w:t>Practice</w:t>
      </w:r>
      <w:r w:rsidR="004B602A">
        <w:t xml:space="preserve">. </w:t>
      </w:r>
      <w:r w:rsidRPr="0089711E">
        <w:t xml:space="preserve">Complaints </w:t>
      </w:r>
      <w:r w:rsidR="004B602A">
        <w:t xml:space="preserve">that </w:t>
      </w:r>
      <w:r w:rsidRPr="0089711E">
        <w:t xml:space="preserve">dispute the academic judgement of </w:t>
      </w:r>
      <w:r w:rsidR="000D7265">
        <w:t xml:space="preserve">a Director </w:t>
      </w:r>
      <w:r w:rsidR="00DE2B7E">
        <w:t>of Studies</w:t>
      </w:r>
      <w:r w:rsidR="00547C3B">
        <w:t xml:space="preserve"> will not be considered.</w:t>
      </w:r>
    </w:p>
    <w:p w:rsidR="00F30E62" w:rsidRPr="00E02DF0" w:rsidRDefault="00F30E62" w:rsidP="00846FB2">
      <w:pPr>
        <w:pStyle w:val="CoPNumberlevel1"/>
      </w:pPr>
      <w:r w:rsidRPr="00E02DF0">
        <w:t>Complaints will be dealt with confidentially but it may be necessary for information to be disclosed to other members of LSTM staff in order to deal with the complain</w:t>
      </w:r>
      <w:r w:rsidR="004B602A">
        <w:t>t effectively.  A</w:t>
      </w:r>
      <w:r>
        <w:t>pplicants</w:t>
      </w:r>
      <w:r w:rsidRPr="00E02DF0">
        <w:t xml:space="preserve"> will be informed </w:t>
      </w:r>
      <w:r w:rsidR="004B602A">
        <w:t xml:space="preserve">if </w:t>
      </w:r>
      <w:r w:rsidRPr="00E02DF0">
        <w:t>this is the case.</w:t>
      </w:r>
    </w:p>
    <w:p w:rsidR="004B602A" w:rsidRDefault="00F30E62" w:rsidP="00846FB2">
      <w:pPr>
        <w:pStyle w:val="CoPNumberlevel1"/>
      </w:pPr>
      <w:r w:rsidRPr="000D7265">
        <w:t xml:space="preserve">If a complaint is found to be justified, LSTM will take </w:t>
      </w:r>
      <w:r>
        <w:t xml:space="preserve">prompt </w:t>
      </w:r>
      <w:r w:rsidRPr="000D7265">
        <w:t>action or provide such remedy as may be appropriate.  If a complaint is not upheld, the reasons for the decision will be communicated to the applicant.</w:t>
      </w:r>
    </w:p>
    <w:p w:rsidR="00F30E62" w:rsidRPr="00E02DF0" w:rsidRDefault="00F30E62" w:rsidP="00846FB2">
      <w:pPr>
        <w:pStyle w:val="CoPNumberlevel1"/>
      </w:pPr>
      <w:r w:rsidRPr="00E02DF0">
        <w:t xml:space="preserve">Applicants will not </w:t>
      </w:r>
      <w:r w:rsidR="004B602A">
        <w:t xml:space="preserve">be </w:t>
      </w:r>
      <w:r w:rsidRPr="00E02DF0">
        <w:t>disadvantage</w:t>
      </w:r>
      <w:r w:rsidR="004B602A">
        <w:t>d</w:t>
      </w:r>
      <w:r w:rsidRPr="00E02DF0">
        <w:t xml:space="preserve"> as a result of making a complaint.</w:t>
      </w:r>
    </w:p>
    <w:p w:rsidR="00ED4A53" w:rsidRPr="00A07F52" w:rsidRDefault="00ED4A53" w:rsidP="00846FB2">
      <w:pPr>
        <w:pStyle w:val="CoPborderheading"/>
        <w:rPr>
          <w:rFonts w:hint="eastAsia"/>
        </w:rPr>
      </w:pPr>
      <w:bookmarkStart w:id="27" w:name="_Toc342395990"/>
      <w:bookmarkStart w:id="28" w:name="_Toc416683535"/>
      <w:r w:rsidRPr="00A07F52">
        <w:t>Fraudulent Statements</w:t>
      </w:r>
      <w:r w:rsidR="00A456D2">
        <w:t xml:space="preserve"> and D</w:t>
      </w:r>
      <w:r w:rsidRPr="00A07F52">
        <w:t>ocuments</w:t>
      </w:r>
      <w:bookmarkEnd w:id="27"/>
      <w:bookmarkEnd w:id="28"/>
    </w:p>
    <w:p w:rsidR="00A456D2" w:rsidRDefault="00D450C2" w:rsidP="00846FB2">
      <w:pPr>
        <w:pStyle w:val="CoPNumberlevel1"/>
      </w:pPr>
      <w:r>
        <w:t xml:space="preserve">An </w:t>
      </w:r>
      <w:r w:rsidRPr="0089711E">
        <w:t xml:space="preserve">application will automatically be rejected </w:t>
      </w:r>
      <w:r>
        <w:t>if</w:t>
      </w:r>
      <w:r w:rsidR="00ED4A53" w:rsidRPr="0089711E">
        <w:t xml:space="preserve"> </w:t>
      </w:r>
      <w:r>
        <w:t xml:space="preserve">the </w:t>
      </w:r>
      <w:r w:rsidR="00DE2B7E">
        <w:t>applicant</w:t>
      </w:r>
      <w:r w:rsidR="004B602A">
        <w:t xml:space="preserve"> </w:t>
      </w:r>
      <w:r w:rsidR="00ED4A53" w:rsidRPr="0089711E">
        <w:t>supplie</w:t>
      </w:r>
      <w:r w:rsidR="00063E00">
        <w:t xml:space="preserve">s </w:t>
      </w:r>
      <w:r w:rsidR="00ED4A53" w:rsidRPr="0089711E">
        <w:t xml:space="preserve">any information or documentation </w:t>
      </w:r>
      <w:r w:rsidR="0099136D">
        <w:t xml:space="preserve">that </w:t>
      </w:r>
      <w:r w:rsidR="00ED4A53" w:rsidRPr="0089711E">
        <w:t xml:space="preserve">is </w:t>
      </w:r>
      <w:r w:rsidR="004B602A">
        <w:t xml:space="preserve">found to be </w:t>
      </w:r>
      <w:r>
        <w:t>false or fraudulent</w:t>
      </w:r>
      <w:r w:rsidR="00547C3B">
        <w:t>.</w:t>
      </w:r>
    </w:p>
    <w:p w:rsidR="00063E00" w:rsidRDefault="00396905" w:rsidP="00846FB2">
      <w:pPr>
        <w:pStyle w:val="CoPNumberlevel1"/>
      </w:pPr>
      <w:r>
        <w:lastRenderedPageBreak/>
        <w:t>LSTM reserves the right to terminate the registration of a</w:t>
      </w:r>
      <w:r w:rsidR="00ED4A53" w:rsidRPr="009E5E1A">
        <w:t xml:space="preserve">ny student </w:t>
      </w:r>
      <w:r>
        <w:t>w</w:t>
      </w:r>
      <w:r w:rsidR="00063E00">
        <w:t>ho is subsequently found to have supplied fraudulent information in their application</w:t>
      </w:r>
      <w:r>
        <w:t xml:space="preserve">. </w:t>
      </w:r>
      <w:r w:rsidR="00ED4A53" w:rsidRPr="009E5E1A">
        <w:t>Any fees alre</w:t>
      </w:r>
      <w:r w:rsidR="00547C3B">
        <w:t>ady paid will not be refunded.</w:t>
      </w:r>
    </w:p>
    <w:p w:rsidR="00E02DF0" w:rsidRPr="00F30E62" w:rsidRDefault="00063E00" w:rsidP="00846FB2">
      <w:pPr>
        <w:pStyle w:val="CoPNumberlevel1"/>
      </w:pPr>
      <w:r>
        <w:t xml:space="preserve">Overseas </w:t>
      </w:r>
      <w:r w:rsidR="00ED4A53" w:rsidRPr="009E5E1A">
        <w:t xml:space="preserve">students who have been admitted on the basis of fraudulent information </w:t>
      </w:r>
      <w:r>
        <w:t>will b</w:t>
      </w:r>
      <w:r w:rsidR="00ED4A53" w:rsidRPr="009E5E1A">
        <w:t>e reported to the relevant government agency.</w:t>
      </w:r>
    </w:p>
    <w:p w:rsidR="00F30E62" w:rsidRPr="00A07F52" w:rsidRDefault="00F30E62" w:rsidP="00846FB2">
      <w:pPr>
        <w:pStyle w:val="CoPborderheading"/>
        <w:rPr>
          <w:rFonts w:hint="eastAsia"/>
        </w:rPr>
      </w:pPr>
      <w:bookmarkStart w:id="29" w:name="_Toc342395988"/>
      <w:bookmarkStart w:id="30" w:name="_Toc416683536"/>
      <w:r w:rsidRPr="00A07F52">
        <w:t>Data Protection</w:t>
      </w:r>
      <w:bookmarkEnd w:id="29"/>
      <w:bookmarkEnd w:id="30"/>
    </w:p>
    <w:p w:rsidR="00F30E62" w:rsidRDefault="00F30E62" w:rsidP="00846FB2">
      <w:pPr>
        <w:pStyle w:val="CoPNumberlevel1"/>
      </w:pPr>
      <w:r w:rsidRPr="0089711E">
        <w:t xml:space="preserve">By </w:t>
      </w:r>
      <w:r w:rsidRPr="00145533">
        <w:t>completing</w:t>
      </w:r>
      <w:r w:rsidRPr="0089711E">
        <w:t xml:space="preserve"> the application form, applicants give permission to LSTM to process their </w:t>
      </w:r>
      <w:r w:rsidRPr="009E5E1A">
        <w:t>personal</w:t>
      </w:r>
      <w:r w:rsidRPr="0089711E">
        <w:t xml:space="preserve"> data for the purposes of managing the selection and admissions procedures and for maintaining student records.  The information will also be used to make statutory returns to bodies such as the Higher Educa</w:t>
      </w:r>
      <w:r w:rsidR="00396905">
        <w:t>tion Statistics Agency</w:t>
      </w:r>
      <w:r w:rsidR="00547C3B">
        <w:t>.</w:t>
      </w:r>
    </w:p>
    <w:p w:rsidR="007949D3" w:rsidRPr="007949D3" w:rsidRDefault="00F30E62" w:rsidP="00DD37D5">
      <w:pPr>
        <w:pStyle w:val="CoPNumberlevel1"/>
      </w:pPr>
      <w:r>
        <w:t xml:space="preserve">LSTM complies with the provisions of </w:t>
      </w:r>
      <w:r w:rsidR="005A7A46">
        <w:t>the Data Protection Act 2018</w:t>
      </w:r>
      <w:r>
        <w:t>. All applicant information will be treated in the strictest confidence and will not be disclosed to family, friends or any third party without the applicant’s explicit consent, unless disclosure is permitted u</w:t>
      </w:r>
      <w:r w:rsidR="00547C3B">
        <w:t>nder the provisions of the Act.</w:t>
      </w:r>
      <w:r w:rsidR="007949D3">
        <w:t xml:space="preserve"> </w:t>
      </w:r>
      <w:r w:rsidR="007949D3" w:rsidRPr="007949D3">
        <w:rPr>
          <w:color w:val="000000"/>
        </w:rPr>
        <w:t>The LSTM Privacy Statement sets out the practices of personal data management i</w:t>
      </w:r>
      <w:r w:rsidR="007949D3">
        <w:rPr>
          <w:color w:val="000000"/>
        </w:rPr>
        <w:t>n relation to data from students and is published on the website.</w:t>
      </w:r>
    </w:p>
    <w:p w:rsidR="00F82A90" w:rsidRPr="007949D3" w:rsidRDefault="00F82A90" w:rsidP="00DD37D5">
      <w:pPr>
        <w:pStyle w:val="CoPNumberlevel1"/>
      </w:pPr>
      <w:r>
        <w:br w:type="page"/>
      </w:r>
    </w:p>
    <w:tbl>
      <w:tblPr>
        <w:tblW w:w="4979" w:type="pct"/>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129"/>
        <w:gridCol w:w="1844"/>
        <w:gridCol w:w="5994"/>
      </w:tblGrid>
      <w:tr w:rsidR="00F82A90" w:rsidRPr="00853D2A" w:rsidTr="00F82C92">
        <w:trPr>
          <w:trHeight w:val="397"/>
        </w:trPr>
        <w:tc>
          <w:tcPr>
            <w:tcW w:w="5000" w:type="pct"/>
            <w:gridSpan w:val="3"/>
            <w:shd w:val="clear" w:color="auto" w:fill="E5B8B7" w:themeFill="accent2" w:themeFillTint="66"/>
            <w:vAlign w:val="center"/>
            <w:hideMark/>
          </w:tcPr>
          <w:p w:rsidR="00F82A90" w:rsidRPr="00805611" w:rsidRDefault="00F82A90" w:rsidP="00F82C92">
            <w:pPr>
              <w:pStyle w:val="NoSpacing"/>
              <w:spacing w:before="120" w:after="120"/>
              <w:jc w:val="center"/>
              <w:rPr>
                <w:rFonts w:ascii="Arial" w:hAnsi="Arial" w:cs="Arial"/>
                <w:b/>
                <w:sz w:val="24"/>
                <w:szCs w:val="24"/>
              </w:rPr>
            </w:pPr>
            <w:r>
              <w:rPr>
                <w:rFonts w:ascii="Arial" w:hAnsi="Arial" w:cs="Arial"/>
                <w:b/>
                <w:sz w:val="24"/>
                <w:szCs w:val="24"/>
              </w:rPr>
              <w:lastRenderedPageBreak/>
              <w:t>Annex of Modifications</w:t>
            </w:r>
          </w:p>
        </w:tc>
      </w:tr>
      <w:tr w:rsidR="00F82A90" w:rsidRPr="00853D2A" w:rsidTr="00F82C92">
        <w:trPr>
          <w:trHeight w:val="397"/>
        </w:trPr>
        <w:tc>
          <w:tcPr>
            <w:tcW w:w="630" w:type="pct"/>
            <w:vAlign w:val="center"/>
          </w:tcPr>
          <w:p w:rsidR="00F82A90" w:rsidRPr="00F76F9B" w:rsidRDefault="00F82A90" w:rsidP="00F82C92">
            <w:pPr>
              <w:pStyle w:val="NoSpacing"/>
              <w:spacing w:before="120" w:after="120"/>
              <w:jc w:val="center"/>
              <w:rPr>
                <w:rFonts w:ascii="Arial" w:hAnsi="Arial" w:cs="Arial"/>
                <w:b/>
              </w:rPr>
            </w:pPr>
            <w:r w:rsidRPr="00F76F9B">
              <w:rPr>
                <w:rFonts w:ascii="Arial" w:hAnsi="Arial" w:cs="Arial"/>
                <w:b/>
              </w:rPr>
              <w:t>Version</w:t>
            </w:r>
          </w:p>
        </w:tc>
        <w:tc>
          <w:tcPr>
            <w:tcW w:w="1028" w:type="pct"/>
            <w:vAlign w:val="center"/>
          </w:tcPr>
          <w:p w:rsidR="00F82A90" w:rsidRPr="00F76F9B" w:rsidRDefault="00F82A90" w:rsidP="00F82C92">
            <w:pPr>
              <w:pStyle w:val="NoSpacing"/>
              <w:spacing w:before="120" w:after="120"/>
              <w:jc w:val="center"/>
              <w:rPr>
                <w:rFonts w:ascii="Arial" w:hAnsi="Arial" w:cs="Arial"/>
                <w:b/>
              </w:rPr>
            </w:pPr>
            <w:r w:rsidRPr="00F76F9B">
              <w:rPr>
                <w:rFonts w:ascii="Arial" w:hAnsi="Arial" w:cs="Arial"/>
                <w:b/>
              </w:rPr>
              <w:t>Date of issue</w:t>
            </w:r>
          </w:p>
        </w:tc>
        <w:tc>
          <w:tcPr>
            <w:tcW w:w="3343" w:type="pct"/>
            <w:vAlign w:val="center"/>
          </w:tcPr>
          <w:p w:rsidR="00F82A90" w:rsidRPr="00F76F9B" w:rsidRDefault="00F82A90" w:rsidP="00F82C92">
            <w:pPr>
              <w:pStyle w:val="NoSpacing"/>
              <w:spacing w:before="120" w:after="120"/>
              <w:jc w:val="center"/>
              <w:rPr>
                <w:rFonts w:ascii="Arial" w:hAnsi="Arial" w:cs="Arial"/>
                <w:b/>
              </w:rPr>
            </w:pPr>
            <w:r w:rsidRPr="00F76F9B">
              <w:rPr>
                <w:rFonts w:ascii="Arial" w:hAnsi="Arial" w:cs="Arial"/>
                <w:b/>
              </w:rPr>
              <w:t>Details of modification from previous version</w:t>
            </w:r>
          </w:p>
        </w:tc>
      </w:tr>
      <w:tr w:rsidR="00F82A90" w:rsidRPr="00853D2A" w:rsidTr="00F82C92">
        <w:trPr>
          <w:trHeight w:val="397"/>
        </w:trPr>
        <w:tc>
          <w:tcPr>
            <w:tcW w:w="630" w:type="pct"/>
            <w:vAlign w:val="center"/>
          </w:tcPr>
          <w:p w:rsidR="00F82A90" w:rsidRPr="00805611" w:rsidRDefault="00F82A90" w:rsidP="00F82C92">
            <w:pPr>
              <w:pStyle w:val="NoSpacing"/>
              <w:spacing w:before="120" w:after="120"/>
              <w:rPr>
                <w:rFonts w:ascii="Arial" w:hAnsi="Arial" w:cs="Arial"/>
              </w:rPr>
            </w:pPr>
            <w:r>
              <w:rPr>
                <w:rFonts w:ascii="Arial" w:hAnsi="Arial" w:cs="Arial"/>
              </w:rPr>
              <w:t>1.1</w:t>
            </w:r>
          </w:p>
        </w:tc>
        <w:tc>
          <w:tcPr>
            <w:tcW w:w="1028" w:type="pct"/>
            <w:vAlign w:val="center"/>
          </w:tcPr>
          <w:p w:rsidR="00F82A90" w:rsidRPr="00805611" w:rsidRDefault="00F82A90" w:rsidP="00F82C92">
            <w:pPr>
              <w:pStyle w:val="NoSpacing"/>
              <w:spacing w:before="120" w:after="120"/>
              <w:rPr>
                <w:rFonts w:ascii="Arial" w:hAnsi="Arial" w:cs="Arial"/>
              </w:rPr>
            </w:pPr>
            <w:r>
              <w:rPr>
                <w:rFonts w:ascii="Arial" w:hAnsi="Arial" w:cs="Arial"/>
              </w:rPr>
              <w:t>30.01.15</w:t>
            </w:r>
          </w:p>
        </w:tc>
        <w:tc>
          <w:tcPr>
            <w:tcW w:w="3343" w:type="pct"/>
            <w:vAlign w:val="center"/>
          </w:tcPr>
          <w:p w:rsidR="00F82A90" w:rsidRPr="00805611" w:rsidRDefault="00F82A90" w:rsidP="00870C59">
            <w:pPr>
              <w:pStyle w:val="NoSpacing"/>
              <w:spacing w:before="120" w:after="120"/>
              <w:rPr>
                <w:rFonts w:ascii="Arial" w:hAnsi="Arial" w:cs="Arial"/>
              </w:rPr>
            </w:pPr>
            <w:r>
              <w:rPr>
                <w:rFonts w:ascii="Arial" w:hAnsi="Arial" w:cs="Arial"/>
              </w:rPr>
              <w:t>Minor edits following review by Management Committee 29.0</w:t>
            </w:r>
            <w:r w:rsidR="00870C59">
              <w:rPr>
                <w:rFonts w:ascii="Arial" w:hAnsi="Arial" w:cs="Arial"/>
              </w:rPr>
              <w:t>1</w:t>
            </w:r>
            <w:r>
              <w:rPr>
                <w:rFonts w:ascii="Arial" w:hAnsi="Arial" w:cs="Arial"/>
              </w:rPr>
              <w:t>.14</w:t>
            </w:r>
          </w:p>
        </w:tc>
      </w:tr>
      <w:tr w:rsidR="00F82A90" w:rsidRPr="00853D2A" w:rsidTr="00F82C92">
        <w:trPr>
          <w:trHeight w:val="397"/>
        </w:trPr>
        <w:tc>
          <w:tcPr>
            <w:tcW w:w="630" w:type="pct"/>
            <w:vAlign w:val="center"/>
          </w:tcPr>
          <w:p w:rsidR="00F82A90" w:rsidRPr="00805611" w:rsidRDefault="00870C59" w:rsidP="00F82C92">
            <w:pPr>
              <w:pStyle w:val="NoSpacing"/>
              <w:spacing w:before="120" w:after="120"/>
              <w:rPr>
                <w:rFonts w:ascii="Arial" w:hAnsi="Arial" w:cs="Arial"/>
              </w:rPr>
            </w:pPr>
            <w:r>
              <w:rPr>
                <w:rFonts w:ascii="Arial" w:hAnsi="Arial" w:cs="Arial"/>
              </w:rPr>
              <w:t>1.2</w:t>
            </w:r>
          </w:p>
        </w:tc>
        <w:tc>
          <w:tcPr>
            <w:tcW w:w="1028" w:type="pct"/>
            <w:vAlign w:val="center"/>
          </w:tcPr>
          <w:p w:rsidR="00F82A90" w:rsidRPr="00805611" w:rsidRDefault="00870C59" w:rsidP="00F82C92">
            <w:pPr>
              <w:pStyle w:val="NoSpacing"/>
              <w:spacing w:before="120" w:after="120"/>
              <w:rPr>
                <w:rFonts w:ascii="Arial" w:hAnsi="Arial" w:cs="Arial"/>
              </w:rPr>
            </w:pPr>
            <w:r>
              <w:rPr>
                <w:rFonts w:ascii="Arial" w:hAnsi="Arial" w:cs="Arial"/>
              </w:rPr>
              <w:t>13.04.15</w:t>
            </w:r>
          </w:p>
        </w:tc>
        <w:tc>
          <w:tcPr>
            <w:tcW w:w="3343" w:type="pct"/>
            <w:vAlign w:val="center"/>
          </w:tcPr>
          <w:p w:rsidR="00F07751" w:rsidRDefault="00870C59" w:rsidP="00F82C92">
            <w:pPr>
              <w:pStyle w:val="NoSpacing"/>
              <w:spacing w:before="120" w:after="120"/>
              <w:rPr>
                <w:rFonts w:ascii="Arial" w:hAnsi="Arial" w:cs="Arial"/>
              </w:rPr>
            </w:pPr>
            <w:r>
              <w:rPr>
                <w:rFonts w:ascii="Arial" w:hAnsi="Arial" w:cs="Arial"/>
              </w:rPr>
              <w:t>Following university accreditation visit 02.03.15, additional paragraph regarding</w:t>
            </w:r>
            <w:r w:rsidR="00F07751">
              <w:rPr>
                <w:rFonts w:ascii="Arial" w:hAnsi="Arial" w:cs="Arial"/>
              </w:rPr>
              <w:t xml:space="preserve"> changes to programmes inserted.</w:t>
            </w:r>
          </w:p>
          <w:p w:rsidR="00F82A90" w:rsidRPr="00805611" w:rsidRDefault="00F07751" w:rsidP="00F07751">
            <w:pPr>
              <w:pStyle w:val="NoSpacing"/>
              <w:spacing w:before="120" w:after="120"/>
              <w:rPr>
                <w:rFonts w:ascii="Arial" w:hAnsi="Arial" w:cs="Arial"/>
              </w:rPr>
            </w:pPr>
            <w:r>
              <w:rPr>
                <w:rFonts w:ascii="Arial" w:hAnsi="Arial" w:cs="Arial"/>
              </w:rPr>
              <w:t xml:space="preserve">Reference added to CoP on Postgraduate Research Degrees </w:t>
            </w:r>
          </w:p>
        </w:tc>
      </w:tr>
      <w:tr w:rsidR="00F82A90" w:rsidRPr="00853D2A" w:rsidTr="00F82C92">
        <w:trPr>
          <w:trHeight w:val="397"/>
        </w:trPr>
        <w:tc>
          <w:tcPr>
            <w:tcW w:w="630" w:type="pct"/>
            <w:vAlign w:val="center"/>
          </w:tcPr>
          <w:p w:rsidR="00F82A90" w:rsidRPr="00805611" w:rsidRDefault="00097452" w:rsidP="00F82C92">
            <w:pPr>
              <w:pStyle w:val="NoSpacing"/>
              <w:spacing w:before="120" w:after="120"/>
              <w:rPr>
                <w:rFonts w:ascii="Arial" w:hAnsi="Arial" w:cs="Arial"/>
              </w:rPr>
            </w:pPr>
            <w:r>
              <w:rPr>
                <w:rFonts w:ascii="Arial" w:hAnsi="Arial" w:cs="Arial"/>
              </w:rPr>
              <w:t>2.0</w:t>
            </w:r>
          </w:p>
        </w:tc>
        <w:tc>
          <w:tcPr>
            <w:tcW w:w="1028" w:type="pct"/>
            <w:vAlign w:val="center"/>
          </w:tcPr>
          <w:p w:rsidR="00F82A90" w:rsidRPr="00805611" w:rsidRDefault="00F82A90" w:rsidP="00F82C92">
            <w:pPr>
              <w:pStyle w:val="NoSpacing"/>
              <w:spacing w:before="120" w:after="120"/>
              <w:rPr>
                <w:rFonts w:ascii="Arial" w:hAnsi="Arial" w:cs="Arial"/>
              </w:rPr>
            </w:pPr>
          </w:p>
        </w:tc>
        <w:tc>
          <w:tcPr>
            <w:tcW w:w="3343" w:type="pct"/>
            <w:vAlign w:val="center"/>
          </w:tcPr>
          <w:p w:rsidR="00F82A90" w:rsidRDefault="00097452" w:rsidP="00F82C92">
            <w:pPr>
              <w:pStyle w:val="NoSpacing"/>
              <w:spacing w:before="120" w:after="120"/>
              <w:rPr>
                <w:rFonts w:ascii="Arial" w:hAnsi="Arial" w:cs="Arial"/>
              </w:rPr>
            </w:pPr>
            <w:r>
              <w:rPr>
                <w:rFonts w:ascii="Arial" w:hAnsi="Arial" w:cs="Arial"/>
              </w:rPr>
              <w:t>Removal of reference to Professional Courses Unit</w:t>
            </w:r>
          </w:p>
          <w:p w:rsidR="007949D3" w:rsidRDefault="007949D3" w:rsidP="00F82C92">
            <w:pPr>
              <w:pStyle w:val="NoSpacing"/>
              <w:spacing w:before="120" w:after="120"/>
              <w:rPr>
                <w:rFonts w:ascii="Arial" w:hAnsi="Arial" w:cs="Arial"/>
              </w:rPr>
            </w:pPr>
            <w:r>
              <w:rPr>
                <w:rFonts w:ascii="Arial" w:hAnsi="Arial" w:cs="Arial"/>
              </w:rPr>
              <w:t>Change of reference to Code of Practice on Supporting Students with Disabilities to Code of Practice on Student Support and Welfare</w:t>
            </w:r>
          </w:p>
          <w:p w:rsidR="007949D3" w:rsidRDefault="007949D3" w:rsidP="00F82C92">
            <w:pPr>
              <w:pStyle w:val="NoSpacing"/>
              <w:spacing w:before="120" w:after="120"/>
              <w:rPr>
                <w:rFonts w:ascii="Arial" w:hAnsi="Arial" w:cs="Arial"/>
              </w:rPr>
            </w:pPr>
          </w:p>
          <w:p w:rsidR="007949D3" w:rsidRPr="00805611" w:rsidRDefault="007949D3" w:rsidP="002B07B3">
            <w:pPr>
              <w:pStyle w:val="NoSpacing"/>
              <w:spacing w:before="120" w:after="120"/>
              <w:rPr>
                <w:rFonts w:ascii="Arial" w:hAnsi="Arial" w:cs="Arial"/>
              </w:rPr>
            </w:pPr>
            <w:r>
              <w:rPr>
                <w:rFonts w:ascii="Arial" w:hAnsi="Arial" w:cs="Arial"/>
              </w:rPr>
              <w:t xml:space="preserve">Reference to LSTM Privacy Statement </w:t>
            </w:r>
            <w:r w:rsidR="002B07B3">
              <w:rPr>
                <w:rFonts w:ascii="Arial" w:hAnsi="Arial" w:cs="Arial"/>
              </w:rPr>
              <w:t>added</w:t>
            </w:r>
          </w:p>
        </w:tc>
      </w:tr>
      <w:tr w:rsidR="00F82A90" w:rsidRPr="00853D2A" w:rsidTr="00F82C92">
        <w:trPr>
          <w:trHeight w:val="397"/>
        </w:trPr>
        <w:tc>
          <w:tcPr>
            <w:tcW w:w="630" w:type="pct"/>
            <w:vAlign w:val="center"/>
          </w:tcPr>
          <w:p w:rsidR="00F82A90" w:rsidRPr="00805611" w:rsidRDefault="006208A1" w:rsidP="00F82C92">
            <w:pPr>
              <w:pStyle w:val="NoSpacing"/>
              <w:spacing w:before="120" w:after="120"/>
              <w:rPr>
                <w:rFonts w:ascii="Arial" w:hAnsi="Arial" w:cs="Arial"/>
              </w:rPr>
            </w:pPr>
            <w:r>
              <w:rPr>
                <w:rFonts w:ascii="Arial" w:hAnsi="Arial" w:cs="Arial"/>
              </w:rPr>
              <w:t>2.1</w:t>
            </w:r>
          </w:p>
        </w:tc>
        <w:tc>
          <w:tcPr>
            <w:tcW w:w="1028" w:type="pct"/>
            <w:vAlign w:val="center"/>
          </w:tcPr>
          <w:p w:rsidR="00F82A90" w:rsidRPr="00805611" w:rsidRDefault="00F82A90" w:rsidP="00F82C92">
            <w:pPr>
              <w:pStyle w:val="NoSpacing"/>
              <w:spacing w:before="120" w:after="120"/>
              <w:rPr>
                <w:rFonts w:ascii="Arial" w:hAnsi="Arial" w:cs="Arial"/>
              </w:rPr>
            </w:pPr>
          </w:p>
        </w:tc>
        <w:tc>
          <w:tcPr>
            <w:tcW w:w="3343" w:type="pct"/>
            <w:vAlign w:val="center"/>
          </w:tcPr>
          <w:p w:rsidR="00F82A90" w:rsidRPr="00805611" w:rsidRDefault="006208A1" w:rsidP="00F82C92">
            <w:pPr>
              <w:pStyle w:val="NoSpacing"/>
              <w:spacing w:before="120" w:after="120"/>
              <w:rPr>
                <w:rFonts w:ascii="Arial" w:hAnsi="Arial" w:cs="Arial"/>
              </w:rPr>
            </w:pPr>
            <w:r>
              <w:rPr>
                <w:rFonts w:ascii="Arial" w:hAnsi="Arial" w:cs="Arial"/>
              </w:rPr>
              <w:t xml:space="preserve">Amendment to </w:t>
            </w:r>
            <w:r w:rsidR="003D2EF2">
              <w:rPr>
                <w:rFonts w:ascii="Arial" w:hAnsi="Arial" w:cs="Arial"/>
              </w:rPr>
              <w:t xml:space="preserve">3.3 to replace Academic Registrar with Admissions Manager, </w:t>
            </w:r>
            <w:r>
              <w:rPr>
                <w:rFonts w:ascii="Arial" w:hAnsi="Arial" w:cs="Arial"/>
              </w:rPr>
              <w:t>3.4 to replace Academic Registry with Admissions Office.  4.3 New contact details given for Admissions Office. 14.2 Replaced Data Protection Act 1998 with Data Protection Act 2018.</w:t>
            </w:r>
            <w:r w:rsidR="002D4EDD">
              <w:rPr>
                <w:rFonts w:ascii="Arial" w:hAnsi="Arial" w:cs="Arial"/>
              </w:rPr>
              <w:t xml:space="preserve">  Reference to </w:t>
            </w:r>
            <w:r w:rsidR="002D4EDD" w:rsidRPr="002D4EDD">
              <w:rPr>
                <w:rFonts w:ascii="Arial" w:hAnsi="Arial" w:cs="Arial"/>
                <w:i/>
              </w:rPr>
              <w:t>Procedure for Making a Complaint about the Admissions Process</w:t>
            </w:r>
            <w:r w:rsidR="002D4EDD">
              <w:rPr>
                <w:rFonts w:ascii="Arial" w:hAnsi="Arial" w:cs="Arial"/>
              </w:rPr>
              <w:t xml:space="preserve"> changed to </w:t>
            </w:r>
            <w:r w:rsidR="002D4EDD" w:rsidRPr="002D4EDD">
              <w:rPr>
                <w:rFonts w:ascii="Arial" w:hAnsi="Arial" w:cs="Arial"/>
                <w:i/>
              </w:rPr>
              <w:t xml:space="preserve">Procedure for Dealing with Student Complaints </w:t>
            </w:r>
            <w:r w:rsidR="002D4EDD">
              <w:rPr>
                <w:rFonts w:ascii="Arial" w:hAnsi="Arial" w:cs="Arial"/>
              </w:rPr>
              <w:t>reflecting the amalgamation of the two procedures.</w:t>
            </w:r>
          </w:p>
        </w:tc>
      </w:tr>
      <w:tr w:rsidR="00F82A90" w:rsidRPr="00853D2A" w:rsidTr="00F82C92">
        <w:trPr>
          <w:trHeight w:val="397"/>
        </w:trPr>
        <w:tc>
          <w:tcPr>
            <w:tcW w:w="630" w:type="pct"/>
            <w:vAlign w:val="center"/>
          </w:tcPr>
          <w:p w:rsidR="00F82A90" w:rsidRPr="00805611" w:rsidRDefault="00F82A90" w:rsidP="00F82C92">
            <w:pPr>
              <w:pStyle w:val="NoSpacing"/>
              <w:spacing w:before="120" w:after="120"/>
              <w:rPr>
                <w:rFonts w:ascii="Arial" w:hAnsi="Arial" w:cs="Arial"/>
              </w:rPr>
            </w:pPr>
          </w:p>
        </w:tc>
        <w:tc>
          <w:tcPr>
            <w:tcW w:w="1028" w:type="pct"/>
            <w:vAlign w:val="center"/>
          </w:tcPr>
          <w:p w:rsidR="00F82A90" w:rsidRPr="00805611" w:rsidRDefault="00F82A90" w:rsidP="00F82C92">
            <w:pPr>
              <w:pStyle w:val="NoSpacing"/>
              <w:spacing w:before="120" w:after="120"/>
              <w:rPr>
                <w:rFonts w:ascii="Arial" w:hAnsi="Arial" w:cs="Arial"/>
              </w:rPr>
            </w:pPr>
          </w:p>
        </w:tc>
        <w:tc>
          <w:tcPr>
            <w:tcW w:w="3343" w:type="pct"/>
            <w:vAlign w:val="center"/>
          </w:tcPr>
          <w:p w:rsidR="00F82A90" w:rsidRPr="00805611" w:rsidRDefault="00F82A90" w:rsidP="00F82C92">
            <w:pPr>
              <w:pStyle w:val="NoSpacing"/>
              <w:spacing w:before="120" w:after="120"/>
              <w:rPr>
                <w:rFonts w:ascii="Arial" w:hAnsi="Arial" w:cs="Arial"/>
              </w:rPr>
            </w:pPr>
          </w:p>
        </w:tc>
      </w:tr>
    </w:tbl>
    <w:p w:rsidR="00E55044" w:rsidRPr="00396905" w:rsidRDefault="00E55044" w:rsidP="00F82A90">
      <w:pPr>
        <w:pStyle w:val="CoPNumberlevel1"/>
        <w:numPr>
          <w:ilvl w:val="0"/>
          <w:numId w:val="0"/>
        </w:numPr>
        <w:ind w:left="567" w:hanging="567"/>
        <w:rPr>
          <w:rStyle w:val="Hyperlink"/>
          <w:color w:val="auto"/>
          <w:u w:val="none"/>
        </w:rPr>
      </w:pPr>
    </w:p>
    <w:sectPr w:rsidR="00E55044" w:rsidRPr="00396905" w:rsidSect="00132F50">
      <w:footerReference w:type="default" r:id="rId10"/>
      <w:pgSz w:w="11906" w:h="16838"/>
      <w:pgMar w:top="1418" w:right="1190" w:bottom="1188" w:left="1701" w:header="709" w:footer="4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E10" w:rsidRDefault="00900E10" w:rsidP="00E21955">
      <w:pPr>
        <w:spacing w:after="0" w:line="240" w:lineRule="auto"/>
      </w:pPr>
      <w:r>
        <w:separator/>
      </w:r>
    </w:p>
  </w:endnote>
  <w:endnote w:type="continuationSeparator" w:id="0">
    <w:p w:rsidR="00900E10" w:rsidRDefault="00900E10" w:rsidP="00E2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FB" w:rsidRDefault="002C4EE3" w:rsidP="00CA5861">
    <w:pPr>
      <w:pStyle w:val="Footer"/>
      <w:rPr>
        <w:rFonts w:ascii="Arial" w:hAnsi="Arial" w:cs="Arial"/>
        <w:sz w:val="16"/>
        <w:szCs w:val="16"/>
      </w:rPr>
    </w:pPr>
    <w:r>
      <w:rPr>
        <w:rFonts w:ascii="Arial" w:hAnsi="Arial" w:cs="Arial"/>
        <w:sz w:val="16"/>
        <w:szCs w:val="16"/>
      </w:rPr>
      <w:pict>
        <v:rect id="_x0000_i1025" style="width:0;height:1.5pt" o:hralign="center" o:hrstd="t" o:hr="t" fillcolor="#a0a0a0" stroked="f"/>
      </w:pict>
    </w:r>
  </w:p>
  <w:p w:rsidR="005709FB" w:rsidRPr="007E0F79" w:rsidRDefault="00F65068" w:rsidP="00CA5861">
    <w:pPr>
      <w:pStyle w:val="Footer"/>
      <w:rPr>
        <w:rFonts w:ascii="Arial" w:hAnsi="Arial" w:cs="Arial"/>
        <w:sz w:val="16"/>
        <w:szCs w:val="16"/>
      </w:rPr>
    </w:pPr>
    <w:r>
      <w:rPr>
        <w:rFonts w:ascii="Arial" w:hAnsi="Arial" w:cs="Arial"/>
        <w:sz w:val="16"/>
        <w:szCs w:val="16"/>
      </w:rPr>
      <w:t>Version</w:t>
    </w:r>
    <w:r w:rsidR="00492307">
      <w:rPr>
        <w:rFonts w:ascii="Arial" w:hAnsi="Arial" w:cs="Arial"/>
        <w:sz w:val="16"/>
        <w:szCs w:val="16"/>
      </w:rPr>
      <w:t>:</w:t>
    </w:r>
    <w:r>
      <w:rPr>
        <w:rFonts w:ascii="Arial" w:hAnsi="Arial" w:cs="Arial"/>
        <w:sz w:val="16"/>
        <w:szCs w:val="16"/>
      </w:rPr>
      <w:t xml:space="preserve"> </w:t>
    </w:r>
    <w:r w:rsidR="00097452">
      <w:rPr>
        <w:rFonts w:ascii="Arial" w:hAnsi="Arial" w:cs="Arial"/>
        <w:sz w:val="16"/>
        <w:szCs w:val="16"/>
      </w:rPr>
      <w:t>2.</w:t>
    </w:r>
    <w:r w:rsidR="002C4EE3">
      <w:rPr>
        <w:rFonts w:ascii="Arial" w:hAnsi="Arial" w:cs="Arial"/>
        <w:sz w:val="16"/>
        <w:szCs w:val="16"/>
      </w:rPr>
      <w:t>1</w:t>
    </w:r>
  </w:p>
  <w:p w:rsidR="005709FB" w:rsidRPr="007E0F79" w:rsidRDefault="005709FB" w:rsidP="00CA5861">
    <w:pPr>
      <w:pStyle w:val="Default"/>
      <w:rPr>
        <w:sz w:val="16"/>
        <w:szCs w:val="16"/>
      </w:rPr>
    </w:pPr>
    <w:r>
      <w:rPr>
        <w:sz w:val="16"/>
        <w:szCs w:val="16"/>
      </w:rPr>
      <w:t>Code of Practice on Admissions</w:t>
    </w:r>
  </w:p>
  <w:p w:rsidR="005709FB" w:rsidRPr="00AC7F89" w:rsidRDefault="00E07397" w:rsidP="00BB7E56">
    <w:pPr>
      <w:pStyle w:val="Footer"/>
      <w:tabs>
        <w:tab w:val="clear" w:pos="4513"/>
        <w:tab w:val="center" w:pos="9063"/>
      </w:tabs>
      <w:rPr>
        <w:rFonts w:ascii="Arial" w:hAnsi="Arial" w:cs="Arial"/>
        <w:sz w:val="16"/>
        <w:szCs w:val="16"/>
      </w:rPr>
    </w:pPr>
    <w:r>
      <w:rPr>
        <w:rFonts w:ascii="Arial" w:hAnsi="Arial" w:cs="Arial"/>
        <w:color w:val="000000"/>
        <w:sz w:val="16"/>
        <w:szCs w:val="16"/>
      </w:rPr>
      <w:t xml:space="preserve">Date </w:t>
    </w:r>
    <w:r w:rsidR="001229A2">
      <w:rPr>
        <w:rFonts w:ascii="Arial" w:hAnsi="Arial" w:cs="Arial"/>
        <w:color w:val="000000"/>
        <w:sz w:val="16"/>
        <w:szCs w:val="16"/>
      </w:rPr>
      <w:t>issued:</w:t>
    </w:r>
    <w:r w:rsidR="002C4EE3">
      <w:rPr>
        <w:rFonts w:ascii="Arial" w:hAnsi="Arial" w:cs="Arial"/>
        <w:color w:val="000000"/>
        <w:sz w:val="16"/>
        <w:szCs w:val="16"/>
      </w:rPr>
      <w:t xml:space="preserve"> 1.2.19</w:t>
    </w:r>
    <w:r w:rsidR="005709FB">
      <w:rPr>
        <w:rFonts w:ascii="Arial" w:hAnsi="Arial" w:cs="Arial"/>
        <w:color w:val="000000"/>
        <w:sz w:val="16"/>
        <w:szCs w:val="16"/>
      </w:rPr>
      <w:tab/>
    </w:r>
    <w:sdt>
      <w:sdtPr>
        <w:rPr>
          <w:rFonts w:ascii="Arial" w:hAnsi="Arial" w:cs="Arial"/>
          <w:sz w:val="16"/>
          <w:szCs w:val="16"/>
        </w:rPr>
        <w:id w:val="8401930"/>
        <w:docPartObj>
          <w:docPartGallery w:val="Page Numbers (Top of Page)"/>
          <w:docPartUnique/>
        </w:docPartObj>
      </w:sdtPr>
      <w:sdtEndPr/>
      <w:sdtContent>
        <w:r w:rsidR="005709FB" w:rsidRPr="007E0F79">
          <w:rPr>
            <w:rFonts w:ascii="Arial" w:hAnsi="Arial" w:cs="Arial"/>
            <w:sz w:val="16"/>
            <w:szCs w:val="16"/>
          </w:rPr>
          <w:t xml:space="preserve">Page </w:t>
        </w:r>
        <w:r w:rsidR="005709FB" w:rsidRPr="007E0F79">
          <w:rPr>
            <w:rFonts w:ascii="Arial" w:hAnsi="Arial" w:cs="Arial"/>
            <w:sz w:val="16"/>
            <w:szCs w:val="16"/>
          </w:rPr>
          <w:fldChar w:fldCharType="begin"/>
        </w:r>
        <w:r w:rsidR="005709FB" w:rsidRPr="007E0F79">
          <w:rPr>
            <w:rFonts w:ascii="Arial" w:hAnsi="Arial" w:cs="Arial"/>
            <w:sz w:val="16"/>
            <w:szCs w:val="16"/>
          </w:rPr>
          <w:instrText xml:space="preserve"> PAGE </w:instrText>
        </w:r>
        <w:r w:rsidR="005709FB" w:rsidRPr="007E0F79">
          <w:rPr>
            <w:rFonts w:ascii="Arial" w:hAnsi="Arial" w:cs="Arial"/>
            <w:sz w:val="16"/>
            <w:szCs w:val="16"/>
          </w:rPr>
          <w:fldChar w:fldCharType="separate"/>
        </w:r>
        <w:r w:rsidR="000145B5">
          <w:rPr>
            <w:rFonts w:ascii="Arial" w:hAnsi="Arial" w:cs="Arial"/>
            <w:noProof/>
            <w:sz w:val="16"/>
            <w:szCs w:val="16"/>
          </w:rPr>
          <w:t>10</w:t>
        </w:r>
        <w:r w:rsidR="005709FB" w:rsidRPr="007E0F79">
          <w:rPr>
            <w:rFonts w:ascii="Arial" w:hAnsi="Arial" w:cs="Arial"/>
            <w:sz w:val="16"/>
            <w:szCs w:val="16"/>
          </w:rPr>
          <w:fldChar w:fldCharType="end"/>
        </w:r>
        <w:r w:rsidR="005709FB" w:rsidRPr="007E0F79">
          <w:rPr>
            <w:rFonts w:ascii="Arial" w:hAnsi="Arial" w:cs="Arial"/>
            <w:sz w:val="16"/>
            <w:szCs w:val="16"/>
          </w:rPr>
          <w:t xml:space="preserve"> of </w:t>
        </w:r>
        <w:r w:rsidR="005709FB" w:rsidRPr="007E0F79">
          <w:rPr>
            <w:rFonts w:ascii="Arial" w:hAnsi="Arial" w:cs="Arial"/>
            <w:sz w:val="16"/>
            <w:szCs w:val="16"/>
          </w:rPr>
          <w:fldChar w:fldCharType="begin"/>
        </w:r>
        <w:r w:rsidR="005709FB" w:rsidRPr="007E0F79">
          <w:rPr>
            <w:rFonts w:ascii="Arial" w:hAnsi="Arial" w:cs="Arial"/>
            <w:sz w:val="16"/>
            <w:szCs w:val="16"/>
          </w:rPr>
          <w:instrText xml:space="preserve"> NUMPAGES  </w:instrText>
        </w:r>
        <w:r w:rsidR="005709FB" w:rsidRPr="007E0F79">
          <w:rPr>
            <w:rFonts w:ascii="Arial" w:hAnsi="Arial" w:cs="Arial"/>
            <w:sz w:val="16"/>
            <w:szCs w:val="16"/>
          </w:rPr>
          <w:fldChar w:fldCharType="separate"/>
        </w:r>
        <w:r w:rsidR="000145B5">
          <w:rPr>
            <w:rFonts w:ascii="Arial" w:hAnsi="Arial" w:cs="Arial"/>
            <w:noProof/>
            <w:sz w:val="16"/>
            <w:szCs w:val="16"/>
          </w:rPr>
          <w:t>10</w:t>
        </w:r>
        <w:r w:rsidR="005709FB" w:rsidRPr="007E0F79">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E10" w:rsidRDefault="00900E10" w:rsidP="00E21955">
      <w:pPr>
        <w:spacing w:after="0" w:line="240" w:lineRule="auto"/>
      </w:pPr>
      <w:r>
        <w:separator/>
      </w:r>
    </w:p>
  </w:footnote>
  <w:footnote w:type="continuationSeparator" w:id="0">
    <w:p w:rsidR="00900E10" w:rsidRDefault="00900E10" w:rsidP="00E2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47CDA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04782"/>
    <w:multiLevelType w:val="hybridMultilevel"/>
    <w:tmpl w:val="88D24D54"/>
    <w:lvl w:ilvl="0" w:tplc="22A6C290">
      <w:numFmt w:val="bullet"/>
      <w:pStyle w:val="CoPbullet"/>
      <w:lvlText w:val="•"/>
      <w:lvlJc w:val="left"/>
      <w:pPr>
        <w:ind w:left="720" w:hanging="360"/>
      </w:pPr>
      <w:rPr>
        <w:rFonts w:ascii="Arial" w:eastAsia="Arial" w:hAnsi="Arial" w:hint="default"/>
        <w:color w:val="231F20"/>
        <w:w w:val="14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3500FF"/>
    <w:multiLevelType w:val="multilevel"/>
    <w:tmpl w:val="A0F09D8E"/>
    <w:lvl w:ilvl="0">
      <w:start w:val="1"/>
      <w:numFmt w:val="decimal"/>
      <w:pStyle w:val="CoPborderheading"/>
      <w:lvlText w:val="%1"/>
      <w:lvlJc w:val="left"/>
      <w:pPr>
        <w:ind w:left="360" w:hanging="360"/>
      </w:pPr>
      <w:rPr>
        <w:rFonts w:hint="default"/>
      </w:rPr>
    </w:lvl>
    <w:lvl w:ilvl="1">
      <w:start w:val="1"/>
      <w:numFmt w:val="decimal"/>
      <w:pStyle w:val="Style1"/>
      <w:isLgl/>
      <w:lvlText w:val="%1.%2"/>
      <w:lvlJc w:val="left"/>
      <w:pPr>
        <w:ind w:left="567" w:hanging="567"/>
      </w:pPr>
      <w:rPr>
        <w:rFonts w:ascii="Arial" w:hAnsi="Arial" w:hint="default"/>
        <w:i w:val="0"/>
        <w:color w:val="auto"/>
        <w:spacing w:val="0"/>
        <w:sz w:val="22"/>
      </w:rPr>
    </w:lvl>
    <w:lvl w:ilvl="2">
      <w:start w:val="1"/>
      <w:numFmt w:val="decimal"/>
      <w:pStyle w:val="CoPNumberlevel2"/>
      <w:isLgl/>
      <w:lvlText w:val="%1.%2.%3"/>
      <w:lvlJc w:val="left"/>
      <w:pPr>
        <w:ind w:left="1418" w:hanging="851"/>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E441C8E"/>
    <w:multiLevelType w:val="hybridMultilevel"/>
    <w:tmpl w:val="AE54636A"/>
    <w:lvl w:ilvl="0" w:tplc="47423404">
      <w:start w:val="1"/>
      <w:numFmt w:val="decimal"/>
      <w:pStyle w:val="CoP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094BB0"/>
    <w:multiLevelType w:val="multilevel"/>
    <w:tmpl w:val="0CD221D4"/>
    <w:lvl w:ilvl="0">
      <w:start w:val="1"/>
      <w:numFmt w:val="decimal"/>
      <w:pStyle w:val="CoPSubHea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4119C4"/>
    <w:multiLevelType w:val="hybridMultilevel"/>
    <w:tmpl w:val="ED3A8244"/>
    <w:lvl w:ilvl="0" w:tplc="06740D60">
      <w:start w:val="1"/>
      <w:numFmt w:val="decimal"/>
      <w:pStyle w:val="HeadingListStyle"/>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57"/>
  <w:drawingGridVerticalSpacing w:val="170"/>
  <w:characterSpacingControl w:val="doNotCompress"/>
  <w:hdrShapeDefaults>
    <o:shapedefaults v:ext="edit" spidmax="2662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53"/>
    <w:rsid w:val="000021E7"/>
    <w:rsid w:val="00003DFF"/>
    <w:rsid w:val="00005B20"/>
    <w:rsid w:val="000145B5"/>
    <w:rsid w:val="00015DDF"/>
    <w:rsid w:val="0001790B"/>
    <w:rsid w:val="00025E4F"/>
    <w:rsid w:val="00034B7F"/>
    <w:rsid w:val="000406D1"/>
    <w:rsid w:val="00054E1B"/>
    <w:rsid w:val="000627A6"/>
    <w:rsid w:val="000631E0"/>
    <w:rsid w:val="00063E00"/>
    <w:rsid w:val="00080E11"/>
    <w:rsid w:val="00084650"/>
    <w:rsid w:val="00093B0B"/>
    <w:rsid w:val="000964AF"/>
    <w:rsid w:val="00097452"/>
    <w:rsid w:val="00097C03"/>
    <w:rsid w:val="000C31EB"/>
    <w:rsid w:val="000D5CE3"/>
    <w:rsid w:val="000D7265"/>
    <w:rsid w:val="000F6406"/>
    <w:rsid w:val="001112F4"/>
    <w:rsid w:val="00111CE8"/>
    <w:rsid w:val="00116073"/>
    <w:rsid w:val="001229A2"/>
    <w:rsid w:val="00132F50"/>
    <w:rsid w:val="00141FBA"/>
    <w:rsid w:val="00142C8B"/>
    <w:rsid w:val="00143707"/>
    <w:rsid w:val="001471C6"/>
    <w:rsid w:val="00151302"/>
    <w:rsid w:val="001536BF"/>
    <w:rsid w:val="00176069"/>
    <w:rsid w:val="00177BE0"/>
    <w:rsid w:val="00185C41"/>
    <w:rsid w:val="00196210"/>
    <w:rsid w:val="001A046A"/>
    <w:rsid w:val="001B05D9"/>
    <w:rsid w:val="001B1939"/>
    <w:rsid w:val="001B3D26"/>
    <w:rsid w:val="001C3C20"/>
    <w:rsid w:val="001E7FE3"/>
    <w:rsid w:val="001F34CD"/>
    <w:rsid w:val="0020508F"/>
    <w:rsid w:val="0020694C"/>
    <w:rsid w:val="002072B2"/>
    <w:rsid w:val="00212A09"/>
    <w:rsid w:val="002162FB"/>
    <w:rsid w:val="0023410E"/>
    <w:rsid w:val="002348B7"/>
    <w:rsid w:val="00235702"/>
    <w:rsid w:val="00254AE6"/>
    <w:rsid w:val="002555C8"/>
    <w:rsid w:val="00273A05"/>
    <w:rsid w:val="00276B97"/>
    <w:rsid w:val="00285202"/>
    <w:rsid w:val="002A2C51"/>
    <w:rsid w:val="002A7BE0"/>
    <w:rsid w:val="002B07B3"/>
    <w:rsid w:val="002B160C"/>
    <w:rsid w:val="002B64D3"/>
    <w:rsid w:val="002C2D7F"/>
    <w:rsid w:val="002C4EE3"/>
    <w:rsid w:val="002C7E71"/>
    <w:rsid w:val="002D3179"/>
    <w:rsid w:val="002D4099"/>
    <w:rsid w:val="002D4EDD"/>
    <w:rsid w:val="002E5C2F"/>
    <w:rsid w:val="002F663B"/>
    <w:rsid w:val="002F73D7"/>
    <w:rsid w:val="00314FED"/>
    <w:rsid w:val="00315094"/>
    <w:rsid w:val="0032454A"/>
    <w:rsid w:val="0033286B"/>
    <w:rsid w:val="0033564F"/>
    <w:rsid w:val="00340EE0"/>
    <w:rsid w:val="003451D3"/>
    <w:rsid w:val="0035302D"/>
    <w:rsid w:val="003608E2"/>
    <w:rsid w:val="00384F14"/>
    <w:rsid w:val="00396905"/>
    <w:rsid w:val="00397BDB"/>
    <w:rsid w:val="003A5FD1"/>
    <w:rsid w:val="003C05BC"/>
    <w:rsid w:val="003C5F07"/>
    <w:rsid w:val="003D2EF2"/>
    <w:rsid w:val="003E328F"/>
    <w:rsid w:val="003E5663"/>
    <w:rsid w:val="0040293D"/>
    <w:rsid w:val="0042383C"/>
    <w:rsid w:val="004250EE"/>
    <w:rsid w:val="00432753"/>
    <w:rsid w:val="004571B5"/>
    <w:rsid w:val="004578E1"/>
    <w:rsid w:val="00481740"/>
    <w:rsid w:val="00482D75"/>
    <w:rsid w:val="00492307"/>
    <w:rsid w:val="004A6EE4"/>
    <w:rsid w:val="004B5C73"/>
    <w:rsid w:val="004B602A"/>
    <w:rsid w:val="004D0A9E"/>
    <w:rsid w:val="004E0540"/>
    <w:rsid w:val="004E42D6"/>
    <w:rsid w:val="005030D6"/>
    <w:rsid w:val="00510B41"/>
    <w:rsid w:val="005121B5"/>
    <w:rsid w:val="00517F06"/>
    <w:rsid w:val="00521FC0"/>
    <w:rsid w:val="00524EB3"/>
    <w:rsid w:val="00526684"/>
    <w:rsid w:val="00546972"/>
    <w:rsid w:val="00547C3B"/>
    <w:rsid w:val="005571E4"/>
    <w:rsid w:val="005575D9"/>
    <w:rsid w:val="00560E9E"/>
    <w:rsid w:val="00564B29"/>
    <w:rsid w:val="005709FB"/>
    <w:rsid w:val="0057702A"/>
    <w:rsid w:val="00596CBA"/>
    <w:rsid w:val="005A0E8C"/>
    <w:rsid w:val="005A7A46"/>
    <w:rsid w:val="005B24BE"/>
    <w:rsid w:val="005C7B3B"/>
    <w:rsid w:val="005E0570"/>
    <w:rsid w:val="005E3A95"/>
    <w:rsid w:val="005E6CE6"/>
    <w:rsid w:val="005E7A45"/>
    <w:rsid w:val="006113B5"/>
    <w:rsid w:val="00611736"/>
    <w:rsid w:val="006208A1"/>
    <w:rsid w:val="00627DB8"/>
    <w:rsid w:val="00631080"/>
    <w:rsid w:val="00631145"/>
    <w:rsid w:val="0066160E"/>
    <w:rsid w:val="00662AC8"/>
    <w:rsid w:val="006707CC"/>
    <w:rsid w:val="00692B99"/>
    <w:rsid w:val="006D3DD5"/>
    <w:rsid w:val="006D6237"/>
    <w:rsid w:val="006E23DD"/>
    <w:rsid w:val="006E6266"/>
    <w:rsid w:val="00702214"/>
    <w:rsid w:val="0070301E"/>
    <w:rsid w:val="00724BBC"/>
    <w:rsid w:val="007306DA"/>
    <w:rsid w:val="00733B24"/>
    <w:rsid w:val="00752CEA"/>
    <w:rsid w:val="00755618"/>
    <w:rsid w:val="00764250"/>
    <w:rsid w:val="0078061A"/>
    <w:rsid w:val="007826FE"/>
    <w:rsid w:val="007876BC"/>
    <w:rsid w:val="007949D3"/>
    <w:rsid w:val="00795DBC"/>
    <w:rsid w:val="007A30E4"/>
    <w:rsid w:val="007C006F"/>
    <w:rsid w:val="007D067D"/>
    <w:rsid w:val="007E21FE"/>
    <w:rsid w:val="007E31E1"/>
    <w:rsid w:val="007E6E0E"/>
    <w:rsid w:val="008044CD"/>
    <w:rsid w:val="00815CD2"/>
    <w:rsid w:val="008313BA"/>
    <w:rsid w:val="008442A6"/>
    <w:rsid w:val="008444F7"/>
    <w:rsid w:val="00846190"/>
    <w:rsid w:val="00846FB2"/>
    <w:rsid w:val="0084788E"/>
    <w:rsid w:val="00853D2A"/>
    <w:rsid w:val="008630EF"/>
    <w:rsid w:val="00870C59"/>
    <w:rsid w:val="00876075"/>
    <w:rsid w:val="008A14A5"/>
    <w:rsid w:val="008A1BBE"/>
    <w:rsid w:val="008A35ED"/>
    <w:rsid w:val="008A7588"/>
    <w:rsid w:val="008B6CFC"/>
    <w:rsid w:val="008E3E61"/>
    <w:rsid w:val="008F3E6D"/>
    <w:rsid w:val="008F6960"/>
    <w:rsid w:val="00900E10"/>
    <w:rsid w:val="0090725D"/>
    <w:rsid w:val="00915038"/>
    <w:rsid w:val="00920550"/>
    <w:rsid w:val="0092740C"/>
    <w:rsid w:val="00940293"/>
    <w:rsid w:val="00966547"/>
    <w:rsid w:val="00974334"/>
    <w:rsid w:val="00975287"/>
    <w:rsid w:val="00981629"/>
    <w:rsid w:val="0098423E"/>
    <w:rsid w:val="009873CE"/>
    <w:rsid w:val="0099136D"/>
    <w:rsid w:val="0099600C"/>
    <w:rsid w:val="009A2B7E"/>
    <w:rsid w:val="009B10B3"/>
    <w:rsid w:val="009B62E2"/>
    <w:rsid w:val="009C18B0"/>
    <w:rsid w:val="009D1568"/>
    <w:rsid w:val="009D2E67"/>
    <w:rsid w:val="009D72B1"/>
    <w:rsid w:val="009E4D81"/>
    <w:rsid w:val="009F24BF"/>
    <w:rsid w:val="00A07EB2"/>
    <w:rsid w:val="00A123C5"/>
    <w:rsid w:val="00A15173"/>
    <w:rsid w:val="00A456D2"/>
    <w:rsid w:val="00A636A4"/>
    <w:rsid w:val="00A708BF"/>
    <w:rsid w:val="00A85A11"/>
    <w:rsid w:val="00A85B07"/>
    <w:rsid w:val="00A9402C"/>
    <w:rsid w:val="00A95C61"/>
    <w:rsid w:val="00A96C21"/>
    <w:rsid w:val="00A97BF3"/>
    <w:rsid w:val="00AA434E"/>
    <w:rsid w:val="00AB7772"/>
    <w:rsid w:val="00AD0B66"/>
    <w:rsid w:val="00AD5BB5"/>
    <w:rsid w:val="00AE4ED4"/>
    <w:rsid w:val="00AE4F1A"/>
    <w:rsid w:val="00AE7468"/>
    <w:rsid w:val="00B0193D"/>
    <w:rsid w:val="00B125A8"/>
    <w:rsid w:val="00B17C8A"/>
    <w:rsid w:val="00B313B4"/>
    <w:rsid w:val="00B34036"/>
    <w:rsid w:val="00B34628"/>
    <w:rsid w:val="00B368F1"/>
    <w:rsid w:val="00B438A5"/>
    <w:rsid w:val="00B72284"/>
    <w:rsid w:val="00B73A04"/>
    <w:rsid w:val="00B93797"/>
    <w:rsid w:val="00BB2003"/>
    <w:rsid w:val="00BB3562"/>
    <w:rsid w:val="00BB7E56"/>
    <w:rsid w:val="00BC4E98"/>
    <w:rsid w:val="00BD1D0F"/>
    <w:rsid w:val="00BE79EA"/>
    <w:rsid w:val="00C0017B"/>
    <w:rsid w:val="00C001F3"/>
    <w:rsid w:val="00C11613"/>
    <w:rsid w:val="00C14ED0"/>
    <w:rsid w:val="00C356B9"/>
    <w:rsid w:val="00C616E1"/>
    <w:rsid w:val="00C64B92"/>
    <w:rsid w:val="00C659A9"/>
    <w:rsid w:val="00C7558A"/>
    <w:rsid w:val="00C8024F"/>
    <w:rsid w:val="00C828AE"/>
    <w:rsid w:val="00C87DFC"/>
    <w:rsid w:val="00C91E32"/>
    <w:rsid w:val="00C922ED"/>
    <w:rsid w:val="00C934D2"/>
    <w:rsid w:val="00CA2CD7"/>
    <w:rsid w:val="00CA33D3"/>
    <w:rsid w:val="00CA5861"/>
    <w:rsid w:val="00D13CDE"/>
    <w:rsid w:val="00D231C3"/>
    <w:rsid w:val="00D23717"/>
    <w:rsid w:val="00D335F2"/>
    <w:rsid w:val="00D35BAE"/>
    <w:rsid w:val="00D4060F"/>
    <w:rsid w:val="00D4322A"/>
    <w:rsid w:val="00D450C2"/>
    <w:rsid w:val="00D47BFE"/>
    <w:rsid w:val="00D55889"/>
    <w:rsid w:val="00D63148"/>
    <w:rsid w:val="00D65F7C"/>
    <w:rsid w:val="00D6697B"/>
    <w:rsid w:val="00D67B9B"/>
    <w:rsid w:val="00D806D7"/>
    <w:rsid w:val="00DA34D4"/>
    <w:rsid w:val="00DB06B6"/>
    <w:rsid w:val="00DB0EE7"/>
    <w:rsid w:val="00DC5F0B"/>
    <w:rsid w:val="00DD4890"/>
    <w:rsid w:val="00DE1BD1"/>
    <w:rsid w:val="00DE2B7E"/>
    <w:rsid w:val="00DE3B53"/>
    <w:rsid w:val="00DF0C7F"/>
    <w:rsid w:val="00DF6889"/>
    <w:rsid w:val="00E02DF0"/>
    <w:rsid w:val="00E03F1F"/>
    <w:rsid w:val="00E06115"/>
    <w:rsid w:val="00E061A5"/>
    <w:rsid w:val="00E07397"/>
    <w:rsid w:val="00E16DC4"/>
    <w:rsid w:val="00E21955"/>
    <w:rsid w:val="00E2635D"/>
    <w:rsid w:val="00E434E9"/>
    <w:rsid w:val="00E52893"/>
    <w:rsid w:val="00E55044"/>
    <w:rsid w:val="00E565B9"/>
    <w:rsid w:val="00E605FD"/>
    <w:rsid w:val="00E61E3F"/>
    <w:rsid w:val="00E84CDC"/>
    <w:rsid w:val="00E92B0F"/>
    <w:rsid w:val="00EA6BBC"/>
    <w:rsid w:val="00EB19C8"/>
    <w:rsid w:val="00EC0805"/>
    <w:rsid w:val="00EC230D"/>
    <w:rsid w:val="00EC2C7C"/>
    <w:rsid w:val="00ED1585"/>
    <w:rsid w:val="00ED4A53"/>
    <w:rsid w:val="00F05987"/>
    <w:rsid w:val="00F07751"/>
    <w:rsid w:val="00F2189C"/>
    <w:rsid w:val="00F22E6A"/>
    <w:rsid w:val="00F30E62"/>
    <w:rsid w:val="00F55604"/>
    <w:rsid w:val="00F65068"/>
    <w:rsid w:val="00F70E21"/>
    <w:rsid w:val="00F71102"/>
    <w:rsid w:val="00F82A90"/>
    <w:rsid w:val="00F93752"/>
    <w:rsid w:val="00FA091E"/>
    <w:rsid w:val="00FA77A8"/>
    <w:rsid w:val="00FC5ABB"/>
    <w:rsid w:val="00FD7516"/>
    <w:rsid w:val="00FF116C"/>
    <w:rsid w:val="00FF1CE7"/>
    <w:rsid w:val="00FF22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147B49DD"/>
  <w15:docId w15:val="{95BE9A9A-FD96-4BC9-96CA-091425A2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AC8"/>
  </w:style>
  <w:style w:type="paragraph" w:styleId="Heading1">
    <w:name w:val="heading 1"/>
    <w:basedOn w:val="Normal"/>
    <w:next w:val="Normal"/>
    <w:link w:val="Heading1Char"/>
    <w:uiPriority w:val="9"/>
    <w:qFormat/>
    <w:rsid w:val="00966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65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6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A53"/>
    <w:rPr>
      <w:color w:val="0000FF" w:themeColor="hyperlink"/>
      <w:u w:val="single"/>
    </w:rPr>
  </w:style>
  <w:style w:type="paragraph" w:styleId="NoSpacing">
    <w:name w:val="No Spacing"/>
    <w:link w:val="NoSpacingChar"/>
    <w:uiPriority w:val="1"/>
    <w:qFormat/>
    <w:rsid w:val="00ED4A53"/>
    <w:pPr>
      <w:spacing w:after="0" w:line="240" w:lineRule="auto"/>
    </w:pPr>
    <w:rPr>
      <w:rFonts w:eastAsiaTheme="minorHAnsi"/>
      <w:lang w:eastAsia="en-US"/>
    </w:rPr>
  </w:style>
  <w:style w:type="paragraph" w:styleId="ListParagraph">
    <w:name w:val="List Paragraph"/>
    <w:basedOn w:val="Normal"/>
    <w:link w:val="ListParagraphChar"/>
    <w:uiPriority w:val="34"/>
    <w:qFormat/>
    <w:rsid w:val="00ED4A53"/>
    <w:pPr>
      <w:ind w:left="720"/>
      <w:contextualSpacing/>
    </w:pPr>
  </w:style>
  <w:style w:type="paragraph" w:customStyle="1" w:styleId="Default">
    <w:name w:val="Default"/>
    <w:rsid w:val="00ED4A5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ED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A53"/>
    <w:rPr>
      <w:rFonts w:eastAsiaTheme="minorHAnsi"/>
      <w:lang w:eastAsia="en-US"/>
    </w:rPr>
  </w:style>
  <w:style w:type="paragraph" w:styleId="Footer">
    <w:name w:val="footer"/>
    <w:basedOn w:val="Normal"/>
    <w:link w:val="FooterChar"/>
    <w:unhideWhenUsed/>
    <w:rsid w:val="00ED4A53"/>
    <w:pPr>
      <w:tabs>
        <w:tab w:val="center" w:pos="4513"/>
        <w:tab w:val="right" w:pos="9026"/>
      </w:tabs>
      <w:spacing w:after="0" w:line="240" w:lineRule="auto"/>
    </w:pPr>
  </w:style>
  <w:style w:type="character" w:customStyle="1" w:styleId="FooterChar">
    <w:name w:val="Footer Char"/>
    <w:basedOn w:val="DefaultParagraphFont"/>
    <w:link w:val="Footer"/>
    <w:rsid w:val="00ED4A53"/>
    <w:rPr>
      <w:rFonts w:eastAsiaTheme="minorHAnsi"/>
      <w:lang w:eastAsia="en-US"/>
    </w:rPr>
  </w:style>
  <w:style w:type="character" w:customStyle="1" w:styleId="NoSpacingChar">
    <w:name w:val="No Spacing Char"/>
    <w:basedOn w:val="DefaultParagraphFont"/>
    <w:link w:val="NoSpacing"/>
    <w:uiPriority w:val="1"/>
    <w:locked/>
    <w:rsid w:val="00ED4A53"/>
    <w:rPr>
      <w:rFonts w:eastAsiaTheme="minorHAnsi"/>
      <w:lang w:eastAsia="en-US"/>
    </w:rPr>
  </w:style>
  <w:style w:type="paragraph" w:styleId="TOC1">
    <w:name w:val="toc 1"/>
    <w:basedOn w:val="CoPborderheading"/>
    <w:next w:val="Normal"/>
    <w:autoRedefine/>
    <w:uiPriority w:val="39"/>
    <w:unhideWhenUsed/>
    <w:rsid w:val="00D67B9B"/>
    <w:pPr>
      <w:keepNext w:val="0"/>
      <w:keepLines w:val="0"/>
      <w:numPr>
        <w:numId w:val="0"/>
      </w:numPr>
      <w:pBdr>
        <w:top w:val="none" w:sz="0" w:space="0" w:color="auto"/>
        <w:bottom w:val="none" w:sz="0" w:space="0" w:color="auto"/>
      </w:pBdr>
      <w:tabs>
        <w:tab w:val="left" w:pos="567"/>
        <w:tab w:val="left" w:pos="8364"/>
      </w:tabs>
      <w:autoSpaceDE/>
      <w:autoSpaceDN/>
      <w:adjustRightInd/>
      <w:spacing w:before="240" w:after="240" w:line="276" w:lineRule="auto"/>
      <w:jc w:val="left"/>
    </w:pPr>
    <w:rPr>
      <w:rFonts w:ascii="Arial" w:hAnsi="Arial"/>
      <w:b w:val="0"/>
      <w:noProof/>
      <w:color w:val="auto"/>
      <w:sz w:val="28"/>
    </w:rPr>
  </w:style>
  <w:style w:type="paragraph" w:customStyle="1" w:styleId="HeadingListStyle">
    <w:name w:val="Heading List Style"/>
    <w:basedOn w:val="ListParagraph"/>
    <w:qFormat/>
    <w:rsid w:val="00ED4A53"/>
    <w:pPr>
      <w:numPr>
        <w:numId w:val="1"/>
      </w:numPr>
      <w:autoSpaceDE w:val="0"/>
      <w:autoSpaceDN w:val="0"/>
      <w:adjustRightInd w:val="0"/>
      <w:spacing w:after="0" w:line="240" w:lineRule="auto"/>
      <w:jc w:val="both"/>
    </w:pPr>
    <w:rPr>
      <w:rFonts w:ascii="Arial" w:hAnsi="Arial" w:cs="Arial"/>
      <w:b/>
      <w:bCs/>
      <w:color w:val="000000"/>
      <w:sz w:val="20"/>
      <w:szCs w:val="20"/>
      <w:u w:val="single"/>
    </w:rPr>
  </w:style>
  <w:style w:type="paragraph" w:customStyle="1" w:styleId="CoPHeading1">
    <w:name w:val="CoP Heading 1"/>
    <w:basedOn w:val="ListParagraph"/>
    <w:rsid w:val="00ED4A53"/>
    <w:pPr>
      <w:keepNext/>
      <w:numPr>
        <w:numId w:val="2"/>
      </w:numPr>
      <w:spacing w:before="360" w:after="40" w:line="240" w:lineRule="auto"/>
      <w:ind w:left="570" w:hanging="570"/>
      <w:contextualSpacing w:val="0"/>
    </w:pPr>
    <w:rPr>
      <w:rFonts w:ascii="Arial" w:hAnsi="Arial" w:cs="Arial"/>
      <w:b/>
      <w:color w:val="943634" w:themeColor="accent2" w:themeShade="BF"/>
      <w:sz w:val="24"/>
      <w:szCs w:val="24"/>
      <w:lang w:eastAsia="zh-CN"/>
    </w:rPr>
  </w:style>
  <w:style w:type="paragraph" w:styleId="Title">
    <w:name w:val="Title"/>
    <w:basedOn w:val="Normal"/>
    <w:next w:val="Normal"/>
    <w:link w:val="TitleChar"/>
    <w:uiPriority w:val="10"/>
    <w:qFormat/>
    <w:rsid w:val="001760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4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A53"/>
    <w:rPr>
      <w:rFonts w:ascii="Tahoma" w:eastAsiaTheme="minorHAnsi" w:hAnsi="Tahoma" w:cs="Tahoma"/>
      <w:sz w:val="16"/>
      <w:szCs w:val="16"/>
      <w:lang w:eastAsia="en-US"/>
    </w:rPr>
  </w:style>
  <w:style w:type="paragraph" w:customStyle="1" w:styleId="CoPborderheading">
    <w:name w:val="CoP border heading"/>
    <w:basedOn w:val="Normal"/>
    <w:autoRedefine/>
    <w:qFormat/>
    <w:rsid w:val="00846FB2"/>
    <w:pPr>
      <w:keepNext/>
      <w:keepLines/>
      <w:numPr>
        <w:numId w:val="5"/>
      </w:numPr>
      <w:pBdr>
        <w:top w:val="single" w:sz="4" w:space="9" w:color="943634" w:themeColor="accent2" w:themeShade="BF"/>
        <w:bottom w:val="single" w:sz="4" w:space="9" w:color="943634" w:themeColor="accent2" w:themeShade="BF"/>
      </w:pBdr>
      <w:autoSpaceDE w:val="0"/>
      <w:autoSpaceDN w:val="0"/>
      <w:adjustRightInd w:val="0"/>
      <w:spacing w:before="600" w:after="0" w:line="240" w:lineRule="auto"/>
      <w:ind w:left="680" w:hanging="680"/>
      <w:jc w:val="both"/>
    </w:pPr>
    <w:rPr>
      <w:rFonts w:ascii="Arial Bold" w:hAnsi="Arial Bold" w:cs="Arial"/>
      <w:b/>
      <w:bCs/>
      <w:color w:val="943634" w:themeColor="accent2" w:themeShade="BF"/>
      <w:sz w:val="24"/>
      <w:szCs w:val="28"/>
    </w:rPr>
  </w:style>
  <w:style w:type="paragraph" w:customStyle="1" w:styleId="CoPv2Heading">
    <w:name w:val="CoP v2 Heading"/>
    <w:basedOn w:val="Normal"/>
    <w:autoRedefine/>
    <w:qFormat/>
    <w:rsid w:val="00CA5861"/>
    <w:pPr>
      <w:keepNext/>
      <w:spacing w:after="0" w:line="240" w:lineRule="auto"/>
      <w:ind w:left="573" w:hanging="573"/>
    </w:pPr>
    <w:rPr>
      <w:rFonts w:ascii="Arial" w:hAnsi="Arial" w:cs="Arial"/>
      <w:b/>
      <w:color w:val="943634" w:themeColor="accent2" w:themeShade="BF"/>
      <w:sz w:val="24"/>
      <w:szCs w:val="24"/>
      <w:lang w:eastAsia="zh-CN"/>
    </w:rPr>
  </w:style>
  <w:style w:type="paragraph" w:customStyle="1" w:styleId="CoPbodytext">
    <w:name w:val="CoP body text"/>
    <w:basedOn w:val="Normal"/>
    <w:qFormat/>
    <w:rsid w:val="00D23717"/>
    <w:pPr>
      <w:autoSpaceDE w:val="0"/>
      <w:autoSpaceDN w:val="0"/>
      <w:adjustRightInd w:val="0"/>
      <w:spacing w:before="240" w:after="240"/>
      <w:jc w:val="both"/>
    </w:pPr>
    <w:rPr>
      <w:rFonts w:ascii="Arial" w:eastAsia="Times New Roman" w:hAnsi="Arial" w:cs="Arial"/>
      <w:color w:val="000000"/>
    </w:rPr>
  </w:style>
  <w:style w:type="paragraph" w:customStyle="1" w:styleId="CoPbullet">
    <w:name w:val="CoP bullet"/>
    <w:basedOn w:val="ListBullet"/>
    <w:link w:val="CoPbulletChar"/>
    <w:qFormat/>
    <w:rsid w:val="00D67B9B"/>
    <w:pPr>
      <w:numPr>
        <w:numId w:val="6"/>
      </w:numPr>
      <w:autoSpaceDE w:val="0"/>
      <w:autoSpaceDN w:val="0"/>
      <w:adjustRightInd w:val="0"/>
      <w:spacing w:before="120" w:after="120" w:line="240" w:lineRule="auto"/>
      <w:ind w:right="346"/>
      <w:contextualSpacing w:val="0"/>
      <w:jc w:val="both"/>
    </w:pPr>
    <w:rPr>
      <w:rFonts w:ascii="Arial" w:hAnsi="Arial" w:cs="Arial"/>
    </w:rPr>
  </w:style>
  <w:style w:type="character" w:customStyle="1" w:styleId="Heading1Char">
    <w:name w:val="Heading 1 Char"/>
    <w:basedOn w:val="DefaultParagraphFont"/>
    <w:link w:val="Heading1"/>
    <w:uiPriority w:val="9"/>
    <w:rsid w:val="0096654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96654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966547"/>
    <w:rPr>
      <w:rFonts w:asciiTheme="majorHAnsi" w:eastAsiaTheme="majorEastAsia" w:hAnsiTheme="majorHAnsi" w:cstheme="majorBidi"/>
      <w:b/>
      <w:bCs/>
      <w:color w:val="4F81BD" w:themeColor="accent1"/>
      <w:lang w:eastAsia="en-US"/>
    </w:rPr>
  </w:style>
  <w:style w:type="paragraph" w:customStyle="1" w:styleId="CoPSubHead">
    <w:name w:val="CoP SubHead"/>
    <w:basedOn w:val="CoPbullet"/>
    <w:link w:val="CoPSubHeadChar"/>
    <w:rsid w:val="00920550"/>
    <w:pPr>
      <w:numPr>
        <w:numId w:val="4"/>
      </w:numPr>
      <w:spacing w:before="480"/>
    </w:pPr>
    <w:rPr>
      <w:b/>
      <w:color w:val="943634" w:themeColor="accent2" w:themeShade="BF"/>
    </w:rPr>
  </w:style>
  <w:style w:type="paragraph" w:styleId="TOC2">
    <w:name w:val="toc 2"/>
    <w:basedOn w:val="Style1"/>
    <w:next w:val="Normal"/>
    <w:autoRedefine/>
    <w:uiPriority w:val="39"/>
    <w:unhideWhenUsed/>
    <w:rsid w:val="009E4D81"/>
    <w:pPr>
      <w:numPr>
        <w:ilvl w:val="0"/>
        <w:numId w:val="0"/>
      </w:numPr>
      <w:spacing w:before="120" w:after="0"/>
      <w:ind w:left="220"/>
      <w:contextualSpacing w:val="0"/>
    </w:pPr>
    <w:rPr>
      <w:rFonts w:asciiTheme="minorHAnsi" w:hAnsiTheme="minorHAnsi" w:cstheme="minorBidi"/>
      <w:i/>
      <w:iCs/>
      <w:sz w:val="20"/>
      <w:szCs w:val="20"/>
    </w:rPr>
  </w:style>
  <w:style w:type="character" w:customStyle="1" w:styleId="CoPbulletChar">
    <w:name w:val="CoP bullet Char"/>
    <w:basedOn w:val="DefaultParagraphFont"/>
    <w:link w:val="CoPbullet"/>
    <w:rsid w:val="00D67B9B"/>
    <w:rPr>
      <w:rFonts w:ascii="Arial" w:hAnsi="Arial" w:cs="Arial"/>
    </w:rPr>
  </w:style>
  <w:style w:type="character" w:customStyle="1" w:styleId="CoPSubHeadChar">
    <w:name w:val="CoP SubHead Char"/>
    <w:basedOn w:val="CoPbulletChar"/>
    <w:link w:val="CoPSubHead"/>
    <w:rsid w:val="00920550"/>
    <w:rPr>
      <w:rFonts w:ascii="Arial" w:hAnsi="Arial" w:cs="Arial"/>
      <w:b/>
      <w:color w:val="943634" w:themeColor="accent2" w:themeShade="BF"/>
    </w:rPr>
  </w:style>
  <w:style w:type="paragraph" w:styleId="FootnoteText">
    <w:name w:val="footnote text"/>
    <w:basedOn w:val="Normal"/>
    <w:link w:val="FootnoteTextChar"/>
    <w:uiPriority w:val="99"/>
    <w:semiHidden/>
    <w:unhideWhenUsed/>
    <w:rsid w:val="00611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3B5"/>
    <w:rPr>
      <w:rFonts w:eastAsiaTheme="minorHAnsi"/>
      <w:sz w:val="20"/>
      <w:szCs w:val="20"/>
      <w:lang w:eastAsia="en-US"/>
    </w:rPr>
  </w:style>
  <w:style w:type="character" w:styleId="FootnoteReference">
    <w:name w:val="footnote reference"/>
    <w:basedOn w:val="DefaultParagraphFont"/>
    <w:uiPriority w:val="99"/>
    <w:semiHidden/>
    <w:unhideWhenUsed/>
    <w:rsid w:val="006113B5"/>
    <w:rPr>
      <w:vertAlign w:val="superscript"/>
    </w:rPr>
  </w:style>
  <w:style w:type="character" w:styleId="CommentReference">
    <w:name w:val="annotation reference"/>
    <w:basedOn w:val="DefaultParagraphFont"/>
    <w:uiPriority w:val="99"/>
    <w:semiHidden/>
    <w:unhideWhenUsed/>
    <w:rsid w:val="00315094"/>
    <w:rPr>
      <w:sz w:val="16"/>
      <w:szCs w:val="16"/>
    </w:rPr>
  </w:style>
  <w:style w:type="paragraph" w:styleId="CommentText">
    <w:name w:val="annotation text"/>
    <w:basedOn w:val="Normal"/>
    <w:link w:val="CommentTextChar"/>
    <w:uiPriority w:val="99"/>
    <w:semiHidden/>
    <w:unhideWhenUsed/>
    <w:rsid w:val="00315094"/>
    <w:pPr>
      <w:spacing w:line="240" w:lineRule="auto"/>
    </w:pPr>
    <w:rPr>
      <w:sz w:val="20"/>
      <w:szCs w:val="20"/>
    </w:rPr>
  </w:style>
  <w:style w:type="character" w:customStyle="1" w:styleId="CommentTextChar">
    <w:name w:val="Comment Text Char"/>
    <w:basedOn w:val="DefaultParagraphFont"/>
    <w:link w:val="CommentText"/>
    <w:uiPriority w:val="99"/>
    <w:semiHidden/>
    <w:rsid w:val="00315094"/>
    <w:rPr>
      <w:sz w:val="20"/>
      <w:szCs w:val="20"/>
    </w:rPr>
  </w:style>
  <w:style w:type="paragraph" w:styleId="CommentSubject">
    <w:name w:val="annotation subject"/>
    <w:basedOn w:val="CommentText"/>
    <w:next w:val="CommentText"/>
    <w:link w:val="CommentSubjectChar"/>
    <w:uiPriority w:val="99"/>
    <w:semiHidden/>
    <w:unhideWhenUsed/>
    <w:rsid w:val="00315094"/>
    <w:rPr>
      <w:b/>
      <w:bCs/>
    </w:rPr>
  </w:style>
  <w:style w:type="character" w:customStyle="1" w:styleId="CommentSubjectChar">
    <w:name w:val="Comment Subject Char"/>
    <w:basedOn w:val="CommentTextChar"/>
    <w:link w:val="CommentSubject"/>
    <w:uiPriority w:val="99"/>
    <w:semiHidden/>
    <w:rsid w:val="00315094"/>
    <w:rPr>
      <w:b/>
      <w:bCs/>
      <w:sz w:val="20"/>
      <w:szCs w:val="20"/>
    </w:rPr>
  </w:style>
  <w:style w:type="character" w:styleId="FollowedHyperlink">
    <w:name w:val="FollowedHyperlink"/>
    <w:basedOn w:val="DefaultParagraphFont"/>
    <w:uiPriority w:val="99"/>
    <w:semiHidden/>
    <w:unhideWhenUsed/>
    <w:rsid w:val="00E92B0F"/>
    <w:rPr>
      <w:color w:val="800080" w:themeColor="followedHyperlink"/>
      <w:u w:val="single"/>
    </w:rPr>
  </w:style>
  <w:style w:type="paragraph" w:customStyle="1" w:styleId="Style1">
    <w:name w:val="Style1"/>
    <w:basedOn w:val="ListParagraph"/>
    <w:link w:val="Style1Char"/>
    <w:qFormat/>
    <w:rsid w:val="00A96C21"/>
    <w:pPr>
      <w:numPr>
        <w:ilvl w:val="1"/>
        <w:numId w:val="5"/>
      </w:numPr>
    </w:pPr>
    <w:rPr>
      <w:rFonts w:ascii="Arial" w:hAnsi="Arial" w:cs="Arial"/>
    </w:rPr>
  </w:style>
  <w:style w:type="character" w:customStyle="1" w:styleId="ListParagraphChar">
    <w:name w:val="List Paragraph Char"/>
    <w:basedOn w:val="DefaultParagraphFont"/>
    <w:link w:val="ListParagraph"/>
    <w:uiPriority w:val="34"/>
    <w:rsid w:val="00A96C21"/>
  </w:style>
  <w:style w:type="character" w:customStyle="1" w:styleId="Style1Char">
    <w:name w:val="Style1 Char"/>
    <w:basedOn w:val="ListParagraphChar"/>
    <w:link w:val="Style1"/>
    <w:rsid w:val="00A96C21"/>
    <w:rPr>
      <w:rFonts w:ascii="Arial" w:hAnsi="Arial" w:cs="Arial"/>
    </w:rPr>
  </w:style>
  <w:style w:type="paragraph" w:customStyle="1" w:styleId="expandinner">
    <w:name w:val="expandinner"/>
    <w:basedOn w:val="Normal"/>
    <w:rsid w:val="00FA091E"/>
    <w:pPr>
      <w:spacing w:after="360" w:line="240" w:lineRule="auto"/>
    </w:pPr>
    <w:rPr>
      <w:rFonts w:ascii="Times New Roman" w:eastAsia="Times New Roman" w:hAnsi="Times New Roman" w:cs="Times New Roman"/>
      <w:sz w:val="19"/>
      <w:szCs w:val="19"/>
    </w:rPr>
  </w:style>
  <w:style w:type="character" w:customStyle="1" w:styleId="TitleChar">
    <w:name w:val="Title Char"/>
    <w:basedOn w:val="DefaultParagraphFont"/>
    <w:link w:val="Title"/>
    <w:uiPriority w:val="10"/>
    <w:rsid w:val="00176069"/>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2"/>
    <w:basedOn w:val="TOC3"/>
    <w:qFormat/>
    <w:rsid w:val="00662AC8"/>
    <w:pPr>
      <w:numPr>
        <w:ilvl w:val="2"/>
        <w:numId w:val="5"/>
      </w:numPr>
    </w:pPr>
  </w:style>
  <w:style w:type="paragraph" w:styleId="TOC3">
    <w:name w:val="toc 3"/>
    <w:basedOn w:val="CoPNumberlevel2"/>
    <w:next w:val="Normal"/>
    <w:autoRedefine/>
    <w:uiPriority w:val="39"/>
    <w:unhideWhenUsed/>
    <w:rsid w:val="00662AC8"/>
    <w:pPr>
      <w:numPr>
        <w:ilvl w:val="0"/>
        <w:numId w:val="0"/>
      </w:numPr>
      <w:spacing w:after="0"/>
      <w:ind w:left="440"/>
    </w:pPr>
    <w:rPr>
      <w:rFonts w:asciiTheme="minorHAnsi" w:hAnsiTheme="minorHAnsi" w:cstheme="minorBidi"/>
      <w:sz w:val="20"/>
      <w:szCs w:val="20"/>
    </w:rPr>
  </w:style>
  <w:style w:type="paragraph" w:styleId="TOCHeading">
    <w:name w:val="TOC Heading"/>
    <w:basedOn w:val="Heading1"/>
    <w:next w:val="Normal"/>
    <w:uiPriority w:val="39"/>
    <w:semiHidden/>
    <w:unhideWhenUsed/>
    <w:qFormat/>
    <w:rsid w:val="00662AC8"/>
    <w:pPr>
      <w:outlineLvl w:val="9"/>
    </w:pPr>
    <w:rPr>
      <w:lang w:val="en-US" w:eastAsia="ja-JP"/>
    </w:rPr>
  </w:style>
  <w:style w:type="paragraph" w:customStyle="1" w:styleId="CoPNumberlevel1">
    <w:name w:val="CoP Number level 1"/>
    <w:basedOn w:val="Style1"/>
    <w:qFormat/>
    <w:rsid w:val="00846FB2"/>
    <w:pPr>
      <w:spacing w:before="240" w:after="120"/>
      <w:contextualSpacing w:val="0"/>
    </w:pPr>
  </w:style>
  <w:style w:type="paragraph" w:customStyle="1" w:styleId="CoPNumberlevel2">
    <w:name w:val="CoP Number level 2"/>
    <w:basedOn w:val="Style1"/>
    <w:qFormat/>
    <w:rsid w:val="00846FB2"/>
    <w:pPr>
      <w:numPr>
        <w:ilvl w:val="2"/>
      </w:numPr>
      <w:spacing w:before="120" w:after="240"/>
      <w:ind w:left="1644" w:hanging="964"/>
      <w:contextualSpacing w:val="0"/>
    </w:pPr>
  </w:style>
  <w:style w:type="paragraph" w:styleId="TOC4">
    <w:name w:val="toc 4"/>
    <w:basedOn w:val="Normal"/>
    <w:next w:val="Normal"/>
    <w:autoRedefine/>
    <w:uiPriority w:val="39"/>
    <w:unhideWhenUsed/>
    <w:rsid w:val="00876075"/>
    <w:pPr>
      <w:spacing w:after="0"/>
      <w:ind w:left="660"/>
    </w:pPr>
    <w:rPr>
      <w:sz w:val="20"/>
      <w:szCs w:val="20"/>
    </w:rPr>
  </w:style>
  <w:style w:type="paragraph" w:styleId="TOC5">
    <w:name w:val="toc 5"/>
    <w:basedOn w:val="Normal"/>
    <w:next w:val="Normal"/>
    <w:autoRedefine/>
    <w:uiPriority w:val="39"/>
    <w:unhideWhenUsed/>
    <w:rsid w:val="00876075"/>
    <w:pPr>
      <w:spacing w:after="0"/>
      <w:ind w:left="880"/>
    </w:pPr>
    <w:rPr>
      <w:sz w:val="20"/>
      <w:szCs w:val="20"/>
    </w:rPr>
  </w:style>
  <w:style w:type="paragraph" w:styleId="TOC6">
    <w:name w:val="toc 6"/>
    <w:basedOn w:val="Normal"/>
    <w:next w:val="Normal"/>
    <w:autoRedefine/>
    <w:uiPriority w:val="39"/>
    <w:unhideWhenUsed/>
    <w:rsid w:val="00876075"/>
    <w:pPr>
      <w:spacing w:after="0"/>
      <w:ind w:left="1100"/>
    </w:pPr>
    <w:rPr>
      <w:sz w:val="20"/>
      <w:szCs w:val="20"/>
    </w:rPr>
  </w:style>
  <w:style w:type="paragraph" w:styleId="TOC7">
    <w:name w:val="toc 7"/>
    <w:basedOn w:val="Normal"/>
    <w:next w:val="Normal"/>
    <w:autoRedefine/>
    <w:uiPriority w:val="39"/>
    <w:unhideWhenUsed/>
    <w:rsid w:val="00876075"/>
    <w:pPr>
      <w:spacing w:after="0"/>
      <w:ind w:left="1320"/>
    </w:pPr>
    <w:rPr>
      <w:sz w:val="20"/>
      <w:szCs w:val="20"/>
    </w:rPr>
  </w:style>
  <w:style w:type="paragraph" w:styleId="TOC8">
    <w:name w:val="toc 8"/>
    <w:basedOn w:val="Normal"/>
    <w:next w:val="Normal"/>
    <w:autoRedefine/>
    <w:uiPriority w:val="39"/>
    <w:unhideWhenUsed/>
    <w:rsid w:val="00876075"/>
    <w:pPr>
      <w:spacing w:after="0"/>
      <w:ind w:left="1540"/>
    </w:pPr>
    <w:rPr>
      <w:sz w:val="20"/>
      <w:szCs w:val="20"/>
    </w:rPr>
  </w:style>
  <w:style w:type="paragraph" w:styleId="TOC9">
    <w:name w:val="toc 9"/>
    <w:basedOn w:val="Normal"/>
    <w:next w:val="Normal"/>
    <w:autoRedefine/>
    <w:uiPriority w:val="39"/>
    <w:unhideWhenUsed/>
    <w:rsid w:val="00876075"/>
    <w:pPr>
      <w:spacing w:after="0"/>
      <w:ind w:left="1760"/>
    </w:pPr>
    <w:rPr>
      <w:sz w:val="20"/>
      <w:szCs w:val="20"/>
    </w:rPr>
  </w:style>
  <w:style w:type="paragraph" w:styleId="ListBullet">
    <w:name w:val="List Bullet"/>
    <w:basedOn w:val="Normal"/>
    <w:uiPriority w:val="99"/>
    <w:unhideWhenUsed/>
    <w:rsid w:val="00876075"/>
    <w:pPr>
      <w:numPr>
        <w:numId w:val="3"/>
      </w:numPr>
      <w:contextualSpacing/>
    </w:pPr>
  </w:style>
  <w:style w:type="character" w:styleId="UnresolvedMention">
    <w:name w:val="Unresolved Mention"/>
    <w:basedOn w:val="DefaultParagraphFont"/>
    <w:uiPriority w:val="99"/>
    <w:semiHidden/>
    <w:unhideWhenUsed/>
    <w:rsid w:val="005571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4063">
      <w:bodyDiv w:val="1"/>
      <w:marLeft w:val="0"/>
      <w:marRight w:val="0"/>
      <w:marTop w:val="0"/>
      <w:marBottom w:val="0"/>
      <w:divBdr>
        <w:top w:val="none" w:sz="0" w:space="0" w:color="auto"/>
        <w:left w:val="none" w:sz="0" w:space="0" w:color="auto"/>
        <w:bottom w:val="none" w:sz="0" w:space="0" w:color="auto"/>
        <w:right w:val="none" w:sz="0" w:space="0" w:color="auto"/>
      </w:divBdr>
    </w:div>
    <w:div w:id="433134427">
      <w:bodyDiv w:val="1"/>
      <w:marLeft w:val="0"/>
      <w:marRight w:val="0"/>
      <w:marTop w:val="0"/>
      <w:marBottom w:val="0"/>
      <w:divBdr>
        <w:top w:val="none" w:sz="0" w:space="0" w:color="auto"/>
        <w:left w:val="none" w:sz="0" w:space="0" w:color="auto"/>
        <w:bottom w:val="none" w:sz="0" w:space="0" w:color="auto"/>
        <w:right w:val="none" w:sz="0" w:space="0" w:color="auto"/>
      </w:divBdr>
    </w:div>
    <w:div w:id="1105924907">
      <w:bodyDiv w:val="1"/>
      <w:marLeft w:val="0"/>
      <w:marRight w:val="0"/>
      <w:marTop w:val="0"/>
      <w:marBottom w:val="0"/>
      <w:divBdr>
        <w:top w:val="none" w:sz="0" w:space="0" w:color="auto"/>
        <w:left w:val="none" w:sz="0" w:space="0" w:color="auto"/>
        <w:bottom w:val="none" w:sz="0" w:space="0" w:color="auto"/>
        <w:right w:val="none" w:sz="0" w:space="0" w:color="auto"/>
      </w:divBdr>
      <w:divsChild>
        <w:div w:id="247467392">
          <w:marLeft w:val="0"/>
          <w:marRight w:val="0"/>
          <w:marTop w:val="0"/>
          <w:marBottom w:val="0"/>
          <w:divBdr>
            <w:top w:val="none" w:sz="0" w:space="0" w:color="auto"/>
            <w:left w:val="none" w:sz="0" w:space="0" w:color="auto"/>
            <w:bottom w:val="none" w:sz="0" w:space="0" w:color="auto"/>
            <w:right w:val="none" w:sz="0" w:space="0" w:color="auto"/>
          </w:divBdr>
        </w:div>
        <w:div w:id="1664432280">
          <w:marLeft w:val="0"/>
          <w:marRight w:val="0"/>
          <w:marTop w:val="0"/>
          <w:marBottom w:val="0"/>
          <w:divBdr>
            <w:top w:val="none" w:sz="0" w:space="0" w:color="auto"/>
            <w:left w:val="none" w:sz="0" w:space="0" w:color="auto"/>
            <w:bottom w:val="none" w:sz="0" w:space="0" w:color="auto"/>
            <w:right w:val="none" w:sz="0" w:space="0" w:color="auto"/>
          </w:divBdr>
        </w:div>
        <w:div w:id="882208417">
          <w:marLeft w:val="0"/>
          <w:marRight w:val="0"/>
          <w:marTop w:val="0"/>
          <w:marBottom w:val="0"/>
          <w:divBdr>
            <w:top w:val="none" w:sz="0" w:space="0" w:color="auto"/>
            <w:left w:val="none" w:sz="0" w:space="0" w:color="auto"/>
            <w:bottom w:val="none" w:sz="0" w:space="0" w:color="auto"/>
            <w:right w:val="none" w:sz="0" w:space="0" w:color="auto"/>
          </w:divBdr>
        </w:div>
      </w:divsChild>
    </w:div>
    <w:div w:id="1624729206">
      <w:bodyDiv w:val="1"/>
      <w:marLeft w:val="0"/>
      <w:marRight w:val="0"/>
      <w:marTop w:val="0"/>
      <w:marBottom w:val="0"/>
      <w:divBdr>
        <w:top w:val="none" w:sz="0" w:space="0" w:color="auto"/>
        <w:left w:val="none" w:sz="0" w:space="0" w:color="auto"/>
        <w:bottom w:val="none" w:sz="0" w:space="0" w:color="auto"/>
        <w:right w:val="none" w:sz="0" w:space="0" w:color="auto"/>
      </w:divBdr>
      <w:divsChild>
        <w:div w:id="833186282">
          <w:marLeft w:val="0"/>
          <w:marRight w:val="0"/>
          <w:marTop w:val="0"/>
          <w:marBottom w:val="0"/>
          <w:divBdr>
            <w:top w:val="none" w:sz="0" w:space="0" w:color="auto"/>
            <w:left w:val="none" w:sz="0" w:space="0" w:color="auto"/>
            <w:bottom w:val="none" w:sz="0" w:space="0" w:color="auto"/>
            <w:right w:val="none" w:sz="0" w:space="0" w:color="auto"/>
          </w:divBdr>
          <w:divsChild>
            <w:div w:id="1086612318">
              <w:marLeft w:val="0"/>
              <w:marRight w:val="0"/>
              <w:marTop w:val="0"/>
              <w:marBottom w:val="0"/>
              <w:divBdr>
                <w:top w:val="single" w:sz="6" w:space="0" w:color="D9D8D8"/>
                <w:left w:val="none" w:sz="0" w:space="0" w:color="auto"/>
                <w:bottom w:val="none" w:sz="0" w:space="0" w:color="auto"/>
                <w:right w:val="none" w:sz="0" w:space="0" w:color="auto"/>
              </w:divBdr>
              <w:divsChild>
                <w:div w:id="2084059905">
                  <w:marLeft w:val="0"/>
                  <w:marRight w:val="0"/>
                  <w:marTop w:val="0"/>
                  <w:marBottom w:val="0"/>
                  <w:divBdr>
                    <w:top w:val="none" w:sz="0" w:space="0" w:color="auto"/>
                    <w:left w:val="none" w:sz="0" w:space="0" w:color="auto"/>
                    <w:bottom w:val="none" w:sz="0" w:space="0" w:color="auto"/>
                    <w:right w:val="none" w:sz="0" w:space="0" w:color="auto"/>
                  </w:divBdr>
                  <w:divsChild>
                    <w:div w:id="1833449135">
                      <w:marLeft w:val="0"/>
                      <w:marRight w:val="0"/>
                      <w:marTop w:val="0"/>
                      <w:marBottom w:val="0"/>
                      <w:divBdr>
                        <w:top w:val="none" w:sz="0" w:space="0" w:color="auto"/>
                        <w:left w:val="none" w:sz="0" w:space="0" w:color="auto"/>
                        <w:bottom w:val="none" w:sz="0" w:space="0" w:color="auto"/>
                        <w:right w:val="none" w:sz="0" w:space="0" w:color="auto"/>
                      </w:divBdr>
                      <w:divsChild>
                        <w:div w:id="1192720071">
                          <w:marLeft w:val="0"/>
                          <w:marRight w:val="0"/>
                          <w:marTop w:val="0"/>
                          <w:marBottom w:val="0"/>
                          <w:divBdr>
                            <w:top w:val="none" w:sz="0" w:space="0" w:color="auto"/>
                            <w:left w:val="none" w:sz="0" w:space="0" w:color="auto"/>
                            <w:bottom w:val="none" w:sz="0" w:space="0" w:color="auto"/>
                            <w:right w:val="none" w:sz="0" w:space="0" w:color="auto"/>
                          </w:divBdr>
                          <w:divsChild>
                            <w:div w:id="809715105">
                              <w:marLeft w:val="0"/>
                              <w:marRight w:val="0"/>
                              <w:marTop w:val="0"/>
                              <w:marBottom w:val="0"/>
                              <w:divBdr>
                                <w:top w:val="none" w:sz="0" w:space="0" w:color="auto"/>
                                <w:left w:val="none" w:sz="0" w:space="0" w:color="auto"/>
                                <w:bottom w:val="none" w:sz="0" w:space="0" w:color="auto"/>
                                <w:right w:val="none" w:sz="0" w:space="0" w:color="auto"/>
                              </w:divBdr>
                              <w:divsChild>
                                <w:div w:id="2110419910">
                                  <w:marLeft w:val="0"/>
                                  <w:marRight w:val="0"/>
                                  <w:marTop w:val="0"/>
                                  <w:marBottom w:val="0"/>
                                  <w:divBdr>
                                    <w:top w:val="none" w:sz="0" w:space="0" w:color="auto"/>
                                    <w:left w:val="none" w:sz="0" w:space="0" w:color="auto"/>
                                    <w:bottom w:val="none" w:sz="0" w:space="0" w:color="auto"/>
                                    <w:right w:val="none" w:sz="0" w:space="0" w:color="auto"/>
                                  </w:divBdr>
                                  <w:divsChild>
                                    <w:div w:id="241834129">
                                      <w:marLeft w:val="0"/>
                                      <w:marRight w:val="0"/>
                                      <w:marTop w:val="100"/>
                                      <w:marBottom w:val="100"/>
                                      <w:divBdr>
                                        <w:top w:val="none" w:sz="0" w:space="0" w:color="auto"/>
                                        <w:left w:val="none" w:sz="0" w:space="0" w:color="auto"/>
                                        <w:bottom w:val="none" w:sz="0" w:space="0" w:color="auto"/>
                                        <w:right w:val="none" w:sz="0" w:space="0" w:color="auto"/>
                                      </w:divBdr>
                                      <w:divsChild>
                                        <w:div w:id="1382904824">
                                          <w:marLeft w:val="0"/>
                                          <w:marRight w:val="0"/>
                                          <w:marTop w:val="120"/>
                                          <w:marBottom w:val="0"/>
                                          <w:divBdr>
                                            <w:top w:val="none" w:sz="0" w:space="0" w:color="auto"/>
                                            <w:left w:val="none" w:sz="0" w:space="0" w:color="auto"/>
                                            <w:bottom w:val="none" w:sz="0" w:space="0" w:color="auto"/>
                                            <w:right w:val="none" w:sz="0" w:space="0" w:color="auto"/>
                                          </w:divBdr>
                                          <w:divsChild>
                                            <w:div w:id="1718163636">
                                              <w:marLeft w:val="0"/>
                                              <w:marRight w:val="0"/>
                                              <w:marTop w:val="0"/>
                                              <w:marBottom w:val="0"/>
                                              <w:divBdr>
                                                <w:top w:val="none" w:sz="0" w:space="0" w:color="auto"/>
                                                <w:left w:val="none" w:sz="0" w:space="0" w:color="auto"/>
                                                <w:bottom w:val="none" w:sz="0" w:space="0" w:color="auto"/>
                                                <w:right w:val="none" w:sz="0" w:space="0" w:color="auto"/>
                                              </w:divBdr>
                                              <w:divsChild>
                                                <w:div w:id="21018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22247">
      <w:bodyDiv w:val="1"/>
      <w:marLeft w:val="0"/>
      <w:marRight w:val="0"/>
      <w:marTop w:val="0"/>
      <w:marBottom w:val="0"/>
      <w:divBdr>
        <w:top w:val="none" w:sz="0" w:space="0" w:color="auto"/>
        <w:left w:val="none" w:sz="0" w:space="0" w:color="auto"/>
        <w:bottom w:val="none" w:sz="0" w:space="0" w:color="auto"/>
        <w:right w:val="none" w:sz="0" w:space="0" w:color="auto"/>
      </w:divBdr>
      <w:divsChild>
        <w:div w:id="1906139345">
          <w:marLeft w:val="0"/>
          <w:marRight w:val="0"/>
          <w:marTop w:val="0"/>
          <w:marBottom w:val="0"/>
          <w:divBdr>
            <w:top w:val="none" w:sz="0" w:space="0" w:color="auto"/>
            <w:left w:val="none" w:sz="0" w:space="0" w:color="auto"/>
            <w:bottom w:val="none" w:sz="0" w:space="0" w:color="auto"/>
            <w:right w:val="none" w:sz="0" w:space="0" w:color="auto"/>
          </w:divBdr>
          <w:divsChild>
            <w:div w:id="1860239960">
              <w:marLeft w:val="0"/>
              <w:marRight w:val="0"/>
              <w:marTop w:val="0"/>
              <w:marBottom w:val="0"/>
              <w:divBdr>
                <w:top w:val="single" w:sz="6" w:space="0" w:color="D9D8D8"/>
                <w:left w:val="none" w:sz="0" w:space="0" w:color="auto"/>
                <w:bottom w:val="none" w:sz="0" w:space="0" w:color="auto"/>
                <w:right w:val="none" w:sz="0" w:space="0" w:color="auto"/>
              </w:divBdr>
              <w:divsChild>
                <w:div w:id="822041229">
                  <w:marLeft w:val="0"/>
                  <w:marRight w:val="0"/>
                  <w:marTop w:val="0"/>
                  <w:marBottom w:val="0"/>
                  <w:divBdr>
                    <w:top w:val="none" w:sz="0" w:space="0" w:color="auto"/>
                    <w:left w:val="none" w:sz="0" w:space="0" w:color="auto"/>
                    <w:bottom w:val="none" w:sz="0" w:space="0" w:color="auto"/>
                    <w:right w:val="none" w:sz="0" w:space="0" w:color="auto"/>
                  </w:divBdr>
                  <w:divsChild>
                    <w:div w:id="1835490578">
                      <w:marLeft w:val="0"/>
                      <w:marRight w:val="0"/>
                      <w:marTop w:val="0"/>
                      <w:marBottom w:val="0"/>
                      <w:divBdr>
                        <w:top w:val="none" w:sz="0" w:space="0" w:color="auto"/>
                        <w:left w:val="none" w:sz="0" w:space="0" w:color="auto"/>
                        <w:bottom w:val="none" w:sz="0" w:space="0" w:color="auto"/>
                        <w:right w:val="none" w:sz="0" w:space="0" w:color="auto"/>
                      </w:divBdr>
                      <w:divsChild>
                        <w:div w:id="680009012">
                          <w:marLeft w:val="0"/>
                          <w:marRight w:val="0"/>
                          <w:marTop w:val="0"/>
                          <w:marBottom w:val="0"/>
                          <w:divBdr>
                            <w:top w:val="none" w:sz="0" w:space="0" w:color="auto"/>
                            <w:left w:val="none" w:sz="0" w:space="0" w:color="auto"/>
                            <w:bottom w:val="none" w:sz="0" w:space="0" w:color="auto"/>
                            <w:right w:val="none" w:sz="0" w:space="0" w:color="auto"/>
                          </w:divBdr>
                          <w:divsChild>
                            <w:div w:id="1189563745">
                              <w:marLeft w:val="0"/>
                              <w:marRight w:val="0"/>
                              <w:marTop w:val="0"/>
                              <w:marBottom w:val="0"/>
                              <w:divBdr>
                                <w:top w:val="none" w:sz="0" w:space="0" w:color="auto"/>
                                <w:left w:val="none" w:sz="0" w:space="0" w:color="auto"/>
                                <w:bottom w:val="none" w:sz="0" w:space="0" w:color="auto"/>
                                <w:right w:val="none" w:sz="0" w:space="0" w:color="auto"/>
                              </w:divBdr>
                              <w:divsChild>
                                <w:div w:id="419763480">
                                  <w:marLeft w:val="0"/>
                                  <w:marRight w:val="0"/>
                                  <w:marTop w:val="0"/>
                                  <w:marBottom w:val="0"/>
                                  <w:divBdr>
                                    <w:top w:val="none" w:sz="0" w:space="0" w:color="auto"/>
                                    <w:left w:val="none" w:sz="0" w:space="0" w:color="auto"/>
                                    <w:bottom w:val="none" w:sz="0" w:space="0" w:color="auto"/>
                                    <w:right w:val="none" w:sz="0" w:space="0" w:color="auto"/>
                                  </w:divBdr>
                                  <w:divsChild>
                                    <w:div w:id="708645132">
                                      <w:marLeft w:val="0"/>
                                      <w:marRight w:val="0"/>
                                      <w:marTop w:val="100"/>
                                      <w:marBottom w:val="100"/>
                                      <w:divBdr>
                                        <w:top w:val="none" w:sz="0" w:space="0" w:color="auto"/>
                                        <w:left w:val="none" w:sz="0" w:space="0" w:color="auto"/>
                                        <w:bottom w:val="none" w:sz="0" w:space="0" w:color="auto"/>
                                        <w:right w:val="none" w:sz="0" w:space="0" w:color="auto"/>
                                      </w:divBdr>
                                      <w:divsChild>
                                        <w:div w:id="376203603">
                                          <w:marLeft w:val="0"/>
                                          <w:marRight w:val="0"/>
                                          <w:marTop w:val="120"/>
                                          <w:marBottom w:val="0"/>
                                          <w:divBdr>
                                            <w:top w:val="none" w:sz="0" w:space="0" w:color="auto"/>
                                            <w:left w:val="none" w:sz="0" w:space="0" w:color="auto"/>
                                            <w:bottom w:val="none" w:sz="0" w:space="0" w:color="auto"/>
                                            <w:right w:val="none" w:sz="0" w:space="0" w:color="auto"/>
                                          </w:divBdr>
                                          <w:divsChild>
                                            <w:div w:id="948202494">
                                              <w:marLeft w:val="0"/>
                                              <w:marRight w:val="0"/>
                                              <w:marTop w:val="0"/>
                                              <w:marBottom w:val="0"/>
                                              <w:divBdr>
                                                <w:top w:val="none" w:sz="0" w:space="0" w:color="auto"/>
                                                <w:left w:val="none" w:sz="0" w:space="0" w:color="auto"/>
                                                <w:bottom w:val="none" w:sz="0" w:space="0" w:color="auto"/>
                                                <w:right w:val="none" w:sz="0" w:space="0" w:color="auto"/>
                                              </w:divBdr>
                                              <w:divsChild>
                                                <w:div w:id="9114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043900">
      <w:bodyDiv w:val="1"/>
      <w:marLeft w:val="0"/>
      <w:marRight w:val="0"/>
      <w:marTop w:val="0"/>
      <w:marBottom w:val="0"/>
      <w:divBdr>
        <w:top w:val="none" w:sz="0" w:space="0" w:color="auto"/>
        <w:left w:val="none" w:sz="0" w:space="0" w:color="auto"/>
        <w:bottom w:val="none" w:sz="0" w:space="0" w:color="auto"/>
        <w:right w:val="none" w:sz="0" w:space="0" w:color="auto"/>
      </w:divBdr>
      <w:divsChild>
        <w:div w:id="1996182310">
          <w:marLeft w:val="0"/>
          <w:marRight w:val="0"/>
          <w:marTop w:val="0"/>
          <w:marBottom w:val="0"/>
          <w:divBdr>
            <w:top w:val="none" w:sz="0" w:space="0" w:color="auto"/>
            <w:left w:val="none" w:sz="0" w:space="0" w:color="auto"/>
            <w:bottom w:val="none" w:sz="0" w:space="0" w:color="auto"/>
            <w:right w:val="none" w:sz="0" w:space="0" w:color="auto"/>
          </w:divBdr>
          <w:divsChild>
            <w:div w:id="104545431">
              <w:marLeft w:val="0"/>
              <w:marRight w:val="0"/>
              <w:marTop w:val="0"/>
              <w:marBottom w:val="0"/>
              <w:divBdr>
                <w:top w:val="single" w:sz="6" w:space="0" w:color="D9D8D8"/>
                <w:left w:val="none" w:sz="0" w:space="0" w:color="auto"/>
                <w:bottom w:val="none" w:sz="0" w:space="0" w:color="auto"/>
                <w:right w:val="none" w:sz="0" w:space="0" w:color="auto"/>
              </w:divBdr>
              <w:divsChild>
                <w:div w:id="1418405797">
                  <w:marLeft w:val="0"/>
                  <w:marRight w:val="0"/>
                  <w:marTop w:val="0"/>
                  <w:marBottom w:val="0"/>
                  <w:divBdr>
                    <w:top w:val="none" w:sz="0" w:space="0" w:color="auto"/>
                    <w:left w:val="none" w:sz="0" w:space="0" w:color="auto"/>
                    <w:bottom w:val="none" w:sz="0" w:space="0" w:color="auto"/>
                    <w:right w:val="none" w:sz="0" w:space="0" w:color="auto"/>
                  </w:divBdr>
                  <w:divsChild>
                    <w:div w:id="167406481">
                      <w:marLeft w:val="0"/>
                      <w:marRight w:val="0"/>
                      <w:marTop w:val="0"/>
                      <w:marBottom w:val="0"/>
                      <w:divBdr>
                        <w:top w:val="none" w:sz="0" w:space="0" w:color="auto"/>
                        <w:left w:val="none" w:sz="0" w:space="0" w:color="auto"/>
                        <w:bottom w:val="none" w:sz="0" w:space="0" w:color="auto"/>
                        <w:right w:val="none" w:sz="0" w:space="0" w:color="auto"/>
                      </w:divBdr>
                      <w:divsChild>
                        <w:div w:id="1818061745">
                          <w:marLeft w:val="0"/>
                          <w:marRight w:val="0"/>
                          <w:marTop w:val="0"/>
                          <w:marBottom w:val="0"/>
                          <w:divBdr>
                            <w:top w:val="none" w:sz="0" w:space="0" w:color="auto"/>
                            <w:left w:val="none" w:sz="0" w:space="0" w:color="auto"/>
                            <w:bottom w:val="none" w:sz="0" w:space="0" w:color="auto"/>
                            <w:right w:val="none" w:sz="0" w:space="0" w:color="auto"/>
                          </w:divBdr>
                          <w:divsChild>
                            <w:div w:id="239680842">
                              <w:marLeft w:val="0"/>
                              <w:marRight w:val="0"/>
                              <w:marTop w:val="0"/>
                              <w:marBottom w:val="0"/>
                              <w:divBdr>
                                <w:top w:val="none" w:sz="0" w:space="0" w:color="auto"/>
                                <w:left w:val="none" w:sz="0" w:space="0" w:color="auto"/>
                                <w:bottom w:val="none" w:sz="0" w:space="0" w:color="auto"/>
                                <w:right w:val="none" w:sz="0" w:space="0" w:color="auto"/>
                              </w:divBdr>
                              <w:divsChild>
                                <w:div w:id="1639383290">
                                  <w:marLeft w:val="0"/>
                                  <w:marRight w:val="0"/>
                                  <w:marTop w:val="0"/>
                                  <w:marBottom w:val="0"/>
                                  <w:divBdr>
                                    <w:top w:val="none" w:sz="0" w:space="0" w:color="auto"/>
                                    <w:left w:val="none" w:sz="0" w:space="0" w:color="auto"/>
                                    <w:bottom w:val="none" w:sz="0" w:space="0" w:color="auto"/>
                                    <w:right w:val="none" w:sz="0" w:space="0" w:color="auto"/>
                                  </w:divBdr>
                                  <w:divsChild>
                                    <w:div w:id="877356172">
                                      <w:marLeft w:val="0"/>
                                      <w:marRight w:val="0"/>
                                      <w:marTop w:val="100"/>
                                      <w:marBottom w:val="100"/>
                                      <w:divBdr>
                                        <w:top w:val="none" w:sz="0" w:space="0" w:color="auto"/>
                                        <w:left w:val="none" w:sz="0" w:space="0" w:color="auto"/>
                                        <w:bottom w:val="none" w:sz="0" w:space="0" w:color="auto"/>
                                        <w:right w:val="none" w:sz="0" w:space="0" w:color="auto"/>
                                      </w:divBdr>
                                      <w:divsChild>
                                        <w:div w:id="1490753726">
                                          <w:marLeft w:val="0"/>
                                          <w:marRight w:val="0"/>
                                          <w:marTop w:val="120"/>
                                          <w:marBottom w:val="0"/>
                                          <w:divBdr>
                                            <w:top w:val="none" w:sz="0" w:space="0" w:color="auto"/>
                                            <w:left w:val="none" w:sz="0" w:space="0" w:color="auto"/>
                                            <w:bottom w:val="none" w:sz="0" w:space="0" w:color="auto"/>
                                            <w:right w:val="none" w:sz="0" w:space="0" w:color="auto"/>
                                          </w:divBdr>
                                          <w:divsChild>
                                            <w:div w:id="1253006905">
                                              <w:marLeft w:val="0"/>
                                              <w:marRight w:val="0"/>
                                              <w:marTop w:val="0"/>
                                              <w:marBottom w:val="0"/>
                                              <w:divBdr>
                                                <w:top w:val="none" w:sz="0" w:space="0" w:color="auto"/>
                                                <w:left w:val="none" w:sz="0" w:space="0" w:color="auto"/>
                                                <w:bottom w:val="none" w:sz="0" w:space="0" w:color="auto"/>
                                                <w:right w:val="none" w:sz="0" w:space="0" w:color="auto"/>
                                              </w:divBdr>
                                              <w:divsChild>
                                                <w:div w:id="1693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3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ylstm@lstm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91DF-6F1C-40D7-B539-E1A986EF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strar</dc:creator>
  <cp:lastModifiedBy>Ruth Pollard</cp:lastModifiedBy>
  <cp:revision>7</cp:revision>
  <cp:lastPrinted>2017-10-27T15:44:00Z</cp:lastPrinted>
  <dcterms:created xsi:type="dcterms:W3CDTF">2018-10-30T16:37:00Z</dcterms:created>
  <dcterms:modified xsi:type="dcterms:W3CDTF">2019-01-30T08:21:00Z</dcterms:modified>
</cp:coreProperties>
</file>