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7" w:type="pct"/>
        <w:jc w:val="center"/>
        <w:tblLook w:val="04A0" w:firstRow="1" w:lastRow="0" w:firstColumn="1" w:lastColumn="0" w:noHBand="0" w:noVBand="1"/>
      </w:tblPr>
      <w:tblGrid>
        <w:gridCol w:w="9288"/>
      </w:tblGrid>
      <w:tr w:rsidR="00ED4A53" w:rsidTr="00112B19">
        <w:trPr>
          <w:trHeight w:val="1984"/>
          <w:jc w:val="center"/>
        </w:trPr>
        <w:tc>
          <w:tcPr>
            <w:tcW w:w="500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853D2A" w:rsidRDefault="00853D2A" w:rsidP="00CA5861">
            <w:r>
              <w:rPr>
                <w:noProof/>
              </w:rPr>
              <w:drawing>
                <wp:anchor distT="0" distB="0" distL="114300" distR="114300" simplePos="0" relativeHeight="251659264" behindDoc="0" locked="0" layoutInCell="1" allowOverlap="1" wp14:anchorId="40C9DAF9" wp14:editId="1AE24C30">
                  <wp:simplePos x="0" y="0"/>
                  <wp:positionH relativeFrom="margin">
                    <wp:posOffset>4345940</wp:posOffset>
                  </wp:positionH>
                  <wp:positionV relativeFrom="margin">
                    <wp:posOffset>102870</wp:posOffset>
                  </wp:positionV>
                  <wp:extent cx="1396958" cy="1080000"/>
                  <wp:effectExtent l="0" t="0" r="0" b="6350"/>
                  <wp:wrapNone/>
                  <wp:docPr id="1" name="Picture 1" descr="small LSTM%203%20colour%20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STM%203%20colour%20positive.jpg"/>
                          <pic:cNvPicPr/>
                        </pic:nvPicPr>
                        <pic:blipFill>
                          <a:blip r:embed="rId8"/>
                          <a:stretch>
                            <a:fillRect/>
                          </a:stretch>
                        </pic:blipFill>
                        <pic:spPr>
                          <a:xfrm>
                            <a:off x="0" y="0"/>
                            <a:ext cx="1396958" cy="1080000"/>
                          </a:xfrm>
                          <a:prstGeom prst="rect">
                            <a:avLst/>
                          </a:prstGeom>
                        </pic:spPr>
                      </pic:pic>
                    </a:graphicData>
                  </a:graphic>
                  <wp14:sizeRelH relativeFrom="margin">
                    <wp14:pctWidth>0</wp14:pctWidth>
                  </wp14:sizeRelH>
                  <wp14:sizeRelV relativeFrom="margin">
                    <wp14:pctHeight>0</wp14:pctHeight>
                  </wp14:sizeRelV>
                </wp:anchor>
              </w:drawing>
            </w:r>
          </w:p>
          <w:p w:rsidR="00853D2A" w:rsidRDefault="00853D2A" w:rsidP="00853D2A"/>
          <w:p w:rsidR="00C001F3" w:rsidRPr="00C001F3" w:rsidRDefault="00853D2A" w:rsidP="00853D2A">
            <w:pPr>
              <w:tabs>
                <w:tab w:val="left" w:pos="8205"/>
              </w:tabs>
              <w:rPr>
                <w:b/>
              </w:rPr>
            </w:pPr>
            <w:r>
              <w:tab/>
            </w:r>
          </w:p>
          <w:p w:rsidR="00ED4A53" w:rsidRPr="00C001F3" w:rsidRDefault="00C001F3" w:rsidP="00C001F3">
            <w:pPr>
              <w:tabs>
                <w:tab w:val="left" w:pos="7095"/>
              </w:tabs>
            </w:pPr>
            <w:r>
              <w:tab/>
            </w:r>
          </w:p>
        </w:tc>
      </w:tr>
      <w:tr w:rsidR="00ED4A53" w:rsidTr="003C5E2D">
        <w:trPr>
          <w:trHeight w:val="1440"/>
          <w:jc w:val="center"/>
        </w:trPr>
        <w:tc>
          <w:tcPr>
            <w:tcW w:w="5000" w:type="pct"/>
            <w:tcBorders>
              <w:top w:val="single" w:sz="4" w:space="0" w:color="943634" w:themeColor="accent2" w:themeShade="BF"/>
              <w:bottom w:val="single" w:sz="4" w:space="0" w:color="943634" w:themeColor="accent2" w:themeShade="BF"/>
            </w:tcBorders>
            <w:vAlign w:val="center"/>
          </w:tcPr>
          <w:p w:rsidR="00ED4A53" w:rsidRPr="004D6C95" w:rsidRDefault="00C659A9" w:rsidP="00CD04F2">
            <w:pPr>
              <w:pStyle w:val="NoSpacing"/>
              <w:spacing w:before="240" w:after="240"/>
              <w:rPr>
                <w:rFonts w:ascii="Arial" w:eastAsia="Times New Roman" w:hAnsi="Arial" w:cs="Arial"/>
                <w:sz w:val="64"/>
                <w:szCs w:val="64"/>
              </w:rPr>
            </w:pPr>
            <w:r w:rsidRPr="004D6C95">
              <w:rPr>
                <w:rFonts w:ascii="Arial" w:eastAsia="Times New Roman" w:hAnsi="Arial" w:cs="Arial"/>
                <w:b/>
                <w:sz w:val="64"/>
                <w:szCs w:val="64"/>
              </w:rPr>
              <w:t xml:space="preserve">Code of Practice on </w:t>
            </w:r>
            <w:r w:rsidR="001429B4" w:rsidRPr="004D6C95">
              <w:rPr>
                <w:rFonts w:ascii="Arial" w:eastAsia="Times New Roman" w:hAnsi="Arial" w:cs="Arial"/>
                <w:b/>
                <w:sz w:val="64"/>
                <w:szCs w:val="64"/>
              </w:rPr>
              <w:t xml:space="preserve">Payment </w:t>
            </w:r>
            <w:r w:rsidR="00CD04F2" w:rsidRPr="004D6C95">
              <w:rPr>
                <w:rFonts w:ascii="Arial" w:eastAsia="Times New Roman" w:hAnsi="Arial" w:cs="Arial"/>
                <w:b/>
                <w:sz w:val="64"/>
                <w:szCs w:val="64"/>
              </w:rPr>
              <w:t>and Refund of Tuition Fees</w:t>
            </w:r>
          </w:p>
        </w:tc>
      </w:tr>
      <w:tr w:rsidR="00ED4A53" w:rsidTr="00AF57E6">
        <w:trPr>
          <w:trHeight w:val="806"/>
          <w:jc w:val="center"/>
        </w:trPr>
        <w:tc>
          <w:tcPr>
            <w:tcW w:w="5000" w:type="pct"/>
            <w:tcBorders>
              <w:top w:val="single" w:sz="4" w:space="0" w:color="943634" w:themeColor="accent2" w:themeShade="BF"/>
              <w:bottom w:val="single" w:sz="6" w:space="0" w:color="943634" w:themeColor="accent2" w:themeShade="BF"/>
            </w:tcBorders>
            <w:vAlign w:val="center"/>
          </w:tcPr>
          <w:p w:rsidR="00ED4A53" w:rsidRPr="00D615B9" w:rsidRDefault="00ED4A53" w:rsidP="00CA5861">
            <w:pPr>
              <w:pStyle w:val="NoSpacing"/>
              <w:spacing w:before="240" w:after="240"/>
              <w:jc w:val="center"/>
              <w:rPr>
                <w:rFonts w:ascii="Arial" w:eastAsia="Times New Roman" w:hAnsi="Arial" w:cs="Arial"/>
                <w:b/>
                <w:sz w:val="44"/>
                <w:szCs w:val="44"/>
              </w:rPr>
            </w:pPr>
          </w:p>
        </w:tc>
      </w:tr>
      <w:tr w:rsidR="00ED4A53" w:rsidTr="00805611">
        <w:trPr>
          <w:trHeight w:val="3786"/>
          <w:jc w:val="center"/>
        </w:trPr>
        <w:tc>
          <w:tcPr>
            <w:tcW w:w="5000" w:type="pct"/>
            <w:tcBorders>
              <w:top w:val="single" w:sz="6" w:space="0" w:color="943634" w:themeColor="accent2" w:themeShade="BF"/>
              <w:bottom w:val="single" w:sz="6" w:space="0" w:color="943634" w:themeColor="accent2" w:themeShade="BF"/>
            </w:tcBorders>
            <w:vAlign w:val="center"/>
          </w:tcPr>
          <w:tbl>
            <w:tblPr>
              <w:tblpPr w:leftFromText="181" w:rightFromText="181" w:horzAnchor="margin" w:tblpXSpec="center" w:tblpYSpec="bottom"/>
              <w:tblOverlap w:val="never"/>
              <w:tblW w:w="4979"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4279"/>
              <w:gridCol w:w="4745"/>
            </w:tblGrid>
            <w:tr w:rsidR="00AF57E6" w:rsidRPr="004C4556" w:rsidTr="00805611">
              <w:trPr>
                <w:trHeight w:val="397"/>
              </w:trPr>
              <w:tc>
                <w:tcPr>
                  <w:tcW w:w="2371" w:type="pct"/>
                  <w:vAlign w:val="center"/>
                  <w:hideMark/>
                </w:tcPr>
                <w:p w:rsidR="00AF57E6" w:rsidRPr="00805611" w:rsidRDefault="00AF57E6" w:rsidP="00AF57E6">
                  <w:pPr>
                    <w:pStyle w:val="NoSpacing"/>
                    <w:spacing w:before="120" w:after="120"/>
                    <w:rPr>
                      <w:rFonts w:ascii="Arial" w:hAnsi="Arial" w:cs="Arial"/>
                      <w:b/>
                    </w:rPr>
                  </w:pPr>
                  <w:r w:rsidRPr="00805611">
                    <w:rPr>
                      <w:rFonts w:ascii="Arial" w:hAnsi="Arial" w:cs="Arial"/>
                      <w:b/>
                    </w:rPr>
                    <w:t>Code of Practice number</w:t>
                  </w:r>
                </w:p>
              </w:tc>
              <w:tc>
                <w:tcPr>
                  <w:tcW w:w="2629" w:type="pct"/>
                  <w:vAlign w:val="center"/>
                  <w:hideMark/>
                </w:tcPr>
                <w:p w:rsidR="00AF57E6" w:rsidRPr="00805611" w:rsidRDefault="00E84361" w:rsidP="00AF57E6">
                  <w:pPr>
                    <w:pStyle w:val="NoSpacing"/>
                    <w:spacing w:before="120" w:after="120"/>
                    <w:rPr>
                      <w:rFonts w:ascii="Arial" w:hAnsi="Arial" w:cs="Arial"/>
                    </w:rPr>
                  </w:pPr>
                  <w:r>
                    <w:rPr>
                      <w:rFonts w:ascii="Arial" w:hAnsi="Arial" w:cs="Arial"/>
                    </w:rPr>
                    <w:t xml:space="preserve">LT COP </w:t>
                  </w:r>
                  <w:r w:rsidR="00DC09BF">
                    <w:rPr>
                      <w:rFonts w:ascii="Arial" w:hAnsi="Arial" w:cs="Arial"/>
                    </w:rPr>
                    <w:t>02</w:t>
                  </w:r>
                </w:p>
              </w:tc>
            </w:tr>
            <w:tr w:rsidR="00AF57E6" w:rsidRPr="004C4556" w:rsidTr="00805611">
              <w:trPr>
                <w:trHeight w:val="397"/>
              </w:trPr>
              <w:tc>
                <w:tcPr>
                  <w:tcW w:w="2371" w:type="pct"/>
                  <w:vAlign w:val="center"/>
                </w:tcPr>
                <w:p w:rsidR="00AF57E6" w:rsidRPr="00805611" w:rsidRDefault="00AF57E6" w:rsidP="00AF57E6">
                  <w:pPr>
                    <w:pStyle w:val="NoSpacing"/>
                    <w:spacing w:before="120" w:after="120"/>
                    <w:rPr>
                      <w:rFonts w:ascii="Arial" w:hAnsi="Arial" w:cs="Arial"/>
                      <w:b/>
                    </w:rPr>
                  </w:pPr>
                  <w:r w:rsidRPr="00805611">
                    <w:rPr>
                      <w:rFonts w:ascii="Arial" w:hAnsi="Arial" w:cs="Arial"/>
                      <w:b/>
                    </w:rPr>
                    <w:t>Version:</w:t>
                  </w:r>
                </w:p>
              </w:tc>
              <w:tc>
                <w:tcPr>
                  <w:tcW w:w="2629" w:type="pct"/>
                  <w:vAlign w:val="center"/>
                </w:tcPr>
                <w:p w:rsidR="00AF57E6" w:rsidRPr="00805611" w:rsidRDefault="003D3DFA" w:rsidP="00F05129">
                  <w:pPr>
                    <w:pStyle w:val="NoSpacing"/>
                    <w:spacing w:before="120" w:after="120"/>
                    <w:rPr>
                      <w:rFonts w:ascii="Arial" w:hAnsi="Arial" w:cs="Arial"/>
                    </w:rPr>
                  </w:pPr>
                  <w:r>
                    <w:rPr>
                      <w:rFonts w:ascii="Arial" w:hAnsi="Arial" w:cs="Arial"/>
                    </w:rPr>
                    <w:t>2.0</w:t>
                  </w:r>
                </w:p>
              </w:tc>
            </w:tr>
            <w:tr w:rsidR="00AF57E6" w:rsidRPr="004C4556" w:rsidTr="00805611">
              <w:trPr>
                <w:trHeight w:val="397"/>
              </w:trPr>
              <w:tc>
                <w:tcPr>
                  <w:tcW w:w="2371" w:type="pct"/>
                  <w:vAlign w:val="center"/>
                </w:tcPr>
                <w:p w:rsidR="00AF57E6" w:rsidRPr="00805611" w:rsidRDefault="00AF57E6" w:rsidP="00AF57E6">
                  <w:pPr>
                    <w:pStyle w:val="NoSpacing"/>
                    <w:spacing w:before="120" w:after="120"/>
                    <w:rPr>
                      <w:rFonts w:ascii="Arial" w:hAnsi="Arial" w:cs="Arial"/>
                      <w:b/>
                    </w:rPr>
                  </w:pPr>
                  <w:r w:rsidRPr="00805611">
                    <w:rPr>
                      <w:rFonts w:ascii="Arial" w:hAnsi="Arial" w:cs="Arial"/>
                      <w:b/>
                      <w:bCs/>
                      <w:lang w:eastAsia="en-GB"/>
                    </w:rPr>
                    <w:t>Superseded Version:</w:t>
                  </w:r>
                </w:p>
              </w:tc>
              <w:tc>
                <w:tcPr>
                  <w:tcW w:w="2629" w:type="pct"/>
                  <w:vAlign w:val="center"/>
                </w:tcPr>
                <w:p w:rsidR="00AF57E6" w:rsidRPr="00805611" w:rsidRDefault="00E84361" w:rsidP="003D3DFA">
                  <w:pPr>
                    <w:pStyle w:val="NoSpacing"/>
                    <w:spacing w:before="120" w:after="120"/>
                    <w:rPr>
                      <w:rFonts w:ascii="Arial" w:hAnsi="Arial" w:cs="Arial"/>
                    </w:rPr>
                  </w:pPr>
                  <w:r>
                    <w:rPr>
                      <w:rFonts w:ascii="Arial" w:hAnsi="Arial" w:cs="Arial"/>
                    </w:rPr>
                    <w:t>1.</w:t>
                  </w:r>
                  <w:r w:rsidR="003D3DFA">
                    <w:rPr>
                      <w:rFonts w:ascii="Arial" w:hAnsi="Arial" w:cs="Arial"/>
                    </w:rPr>
                    <w:t>2</w:t>
                  </w:r>
                </w:p>
              </w:tc>
            </w:tr>
            <w:tr w:rsidR="00AF57E6" w:rsidRPr="004C4556" w:rsidTr="00805611">
              <w:trPr>
                <w:trHeight w:val="397"/>
              </w:trPr>
              <w:tc>
                <w:tcPr>
                  <w:tcW w:w="2371" w:type="pct"/>
                  <w:vAlign w:val="center"/>
                </w:tcPr>
                <w:p w:rsidR="00AF57E6" w:rsidRPr="00805611" w:rsidRDefault="00AF57E6" w:rsidP="00AF57E6">
                  <w:pPr>
                    <w:pStyle w:val="NoSpacing"/>
                    <w:spacing w:before="120" w:after="120"/>
                    <w:rPr>
                      <w:rFonts w:ascii="Arial" w:hAnsi="Arial" w:cs="Arial"/>
                      <w:b/>
                    </w:rPr>
                  </w:pPr>
                  <w:r w:rsidRPr="00805611">
                    <w:rPr>
                      <w:rFonts w:ascii="Arial" w:hAnsi="Arial" w:cs="Arial"/>
                      <w:b/>
                    </w:rPr>
                    <w:t>Date approved by Management Committee</w:t>
                  </w:r>
                </w:p>
              </w:tc>
              <w:tc>
                <w:tcPr>
                  <w:tcW w:w="2629" w:type="pct"/>
                  <w:vAlign w:val="center"/>
                </w:tcPr>
                <w:p w:rsidR="00AF57E6" w:rsidRPr="00805611" w:rsidRDefault="00E84361" w:rsidP="00AF57E6">
                  <w:pPr>
                    <w:pStyle w:val="NoSpacing"/>
                    <w:spacing w:before="120" w:after="120"/>
                    <w:rPr>
                      <w:rFonts w:ascii="Arial" w:hAnsi="Arial" w:cs="Arial"/>
                    </w:rPr>
                  </w:pPr>
                  <w:r>
                    <w:rPr>
                      <w:rFonts w:ascii="Arial" w:hAnsi="Arial" w:cs="Arial"/>
                    </w:rPr>
                    <w:t>V 1.0 approved 29.07.14</w:t>
                  </w:r>
                </w:p>
              </w:tc>
            </w:tr>
            <w:tr w:rsidR="00AF57E6" w:rsidRPr="004C4556" w:rsidTr="00805611">
              <w:trPr>
                <w:trHeight w:val="397"/>
              </w:trPr>
              <w:tc>
                <w:tcPr>
                  <w:tcW w:w="2371" w:type="pct"/>
                  <w:vAlign w:val="center"/>
                </w:tcPr>
                <w:p w:rsidR="00AF57E6" w:rsidRPr="00805611" w:rsidRDefault="00AF57E6" w:rsidP="00AF57E6">
                  <w:pPr>
                    <w:pStyle w:val="NoSpacing"/>
                    <w:spacing w:before="120" w:after="120"/>
                    <w:rPr>
                      <w:rFonts w:ascii="Arial" w:hAnsi="Arial" w:cs="Arial"/>
                      <w:b/>
                      <w:bCs/>
                      <w:lang w:eastAsia="en-GB"/>
                    </w:rPr>
                  </w:pPr>
                  <w:r w:rsidRPr="00805611">
                    <w:rPr>
                      <w:rFonts w:ascii="Arial" w:hAnsi="Arial" w:cs="Arial"/>
                      <w:b/>
                      <w:bCs/>
                      <w:lang w:eastAsia="en-GB"/>
                    </w:rPr>
                    <w:t>Originator</w:t>
                  </w:r>
                </w:p>
              </w:tc>
              <w:tc>
                <w:tcPr>
                  <w:tcW w:w="2629" w:type="pct"/>
                  <w:vAlign w:val="center"/>
                </w:tcPr>
                <w:p w:rsidR="00AF57E6" w:rsidRPr="00805611" w:rsidRDefault="00AF57E6" w:rsidP="00AF57E6">
                  <w:pPr>
                    <w:pStyle w:val="NoSpacing"/>
                    <w:spacing w:before="120" w:after="120"/>
                    <w:rPr>
                      <w:rFonts w:ascii="Arial" w:hAnsi="Arial" w:cs="Arial"/>
                    </w:rPr>
                  </w:pPr>
                  <w:r w:rsidRPr="00805611">
                    <w:rPr>
                      <w:rFonts w:ascii="Arial" w:hAnsi="Arial" w:cs="Arial"/>
                    </w:rPr>
                    <w:t>Academic Registrar</w:t>
                  </w:r>
                </w:p>
              </w:tc>
            </w:tr>
            <w:tr w:rsidR="00AF57E6" w:rsidRPr="004C4556" w:rsidTr="00805611">
              <w:trPr>
                <w:trHeight w:val="397"/>
              </w:trPr>
              <w:tc>
                <w:tcPr>
                  <w:tcW w:w="2371" w:type="pct"/>
                  <w:vAlign w:val="center"/>
                </w:tcPr>
                <w:p w:rsidR="00AF57E6" w:rsidRPr="00805611" w:rsidRDefault="00AF57E6" w:rsidP="00AF57E6">
                  <w:pPr>
                    <w:pStyle w:val="NoSpacing"/>
                    <w:spacing w:before="120" w:after="120"/>
                    <w:rPr>
                      <w:rFonts w:ascii="Arial" w:hAnsi="Arial" w:cs="Arial"/>
                      <w:b/>
                    </w:rPr>
                  </w:pPr>
                  <w:r w:rsidRPr="00805611">
                    <w:rPr>
                      <w:rFonts w:ascii="Arial" w:hAnsi="Arial" w:cs="Arial"/>
                      <w:b/>
                    </w:rPr>
                    <w:t>Date for Review:</w:t>
                  </w:r>
                </w:p>
              </w:tc>
              <w:tc>
                <w:tcPr>
                  <w:tcW w:w="2629" w:type="pct"/>
                  <w:vAlign w:val="center"/>
                </w:tcPr>
                <w:p w:rsidR="00AF57E6" w:rsidRPr="00805611" w:rsidRDefault="00E20095" w:rsidP="00ED7E4A">
                  <w:pPr>
                    <w:pStyle w:val="NoSpacing"/>
                    <w:spacing w:before="120" w:after="120"/>
                    <w:rPr>
                      <w:rFonts w:ascii="Arial" w:hAnsi="Arial" w:cs="Arial"/>
                    </w:rPr>
                  </w:pPr>
                  <w:r>
                    <w:rPr>
                      <w:rFonts w:ascii="Arial" w:hAnsi="Arial" w:cs="Arial"/>
                    </w:rPr>
                    <w:t>July</w:t>
                  </w:r>
                  <w:r w:rsidR="00E84361">
                    <w:rPr>
                      <w:rFonts w:ascii="Arial" w:hAnsi="Arial" w:cs="Arial"/>
                    </w:rPr>
                    <w:t xml:space="preserve"> 201</w:t>
                  </w:r>
                  <w:r w:rsidR="00A9457B">
                    <w:rPr>
                      <w:rFonts w:ascii="Arial" w:hAnsi="Arial" w:cs="Arial"/>
                    </w:rPr>
                    <w:t>9</w:t>
                  </w:r>
                </w:p>
              </w:tc>
            </w:tr>
          </w:tbl>
          <w:p w:rsidR="00ED4A53" w:rsidRPr="004C4556" w:rsidRDefault="00ED4A53" w:rsidP="00CA5861">
            <w:pPr>
              <w:pStyle w:val="NoSpacing"/>
              <w:ind w:right="-166"/>
              <w:jc w:val="center"/>
              <w:rPr>
                <w:rFonts w:ascii="Arial" w:hAnsi="Arial" w:cs="Arial"/>
                <w:b/>
                <w:bCs/>
              </w:rPr>
            </w:pPr>
          </w:p>
        </w:tc>
      </w:tr>
      <w:tr w:rsidR="00ED4A53" w:rsidTr="00805611">
        <w:trPr>
          <w:trHeight w:val="3245"/>
          <w:jc w:val="center"/>
        </w:trPr>
        <w:tc>
          <w:tcPr>
            <w:tcW w:w="5000" w:type="pct"/>
            <w:tcBorders>
              <w:top w:val="single" w:sz="6" w:space="0" w:color="943634" w:themeColor="accent2" w:themeShade="BF"/>
              <w:bottom w:val="single" w:sz="6" w:space="0" w:color="943634" w:themeColor="accent2" w:themeShade="BF"/>
            </w:tcBorders>
          </w:tcPr>
          <w:tbl>
            <w:tblPr>
              <w:tblpPr w:leftFromText="181" w:rightFromText="181" w:vertAnchor="page" w:horzAnchor="margin" w:tblpY="181"/>
              <w:tblOverlap w:val="never"/>
              <w:tblW w:w="4979"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4279"/>
              <w:gridCol w:w="4745"/>
            </w:tblGrid>
            <w:tr w:rsidR="00805611" w:rsidRPr="00853D2A" w:rsidTr="00805611">
              <w:trPr>
                <w:trHeight w:val="397"/>
              </w:trPr>
              <w:tc>
                <w:tcPr>
                  <w:tcW w:w="5000" w:type="pct"/>
                  <w:gridSpan w:val="2"/>
                  <w:shd w:val="clear" w:color="auto" w:fill="E5B8B7" w:themeFill="accent2" w:themeFillTint="66"/>
                  <w:vAlign w:val="center"/>
                  <w:hideMark/>
                </w:tcPr>
                <w:p w:rsidR="00805611" w:rsidRPr="00805611" w:rsidRDefault="00805611" w:rsidP="00805611">
                  <w:pPr>
                    <w:pStyle w:val="NoSpacing"/>
                    <w:spacing w:before="120" w:after="120"/>
                    <w:rPr>
                      <w:rFonts w:ascii="Arial" w:hAnsi="Arial" w:cs="Arial"/>
                      <w:b/>
                      <w:sz w:val="24"/>
                      <w:szCs w:val="24"/>
                    </w:rPr>
                  </w:pPr>
                  <w:r w:rsidRPr="00805611">
                    <w:rPr>
                      <w:rFonts w:ascii="Arial" w:hAnsi="Arial" w:cs="Arial"/>
                      <w:b/>
                      <w:sz w:val="24"/>
                      <w:szCs w:val="24"/>
                    </w:rPr>
                    <w:t>Target Audience</w:t>
                  </w:r>
                </w:p>
              </w:tc>
            </w:tr>
            <w:tr w:rsidR="00805611" w:rsidRPr="00853D2A" w:rsidTr="00805611">
              <w:trPr>
                <w:trHeight w:val="397"/>
              </w:trPr>
              <w:tc>
                <w:tcPr>
                  <w:tcW w:w="2371" w:type="pct"/>
                  <w:vAlign w:val="center"/>
                </w:tcPr>
                <w:p w:rsidR="00805611" w:rsidRPr="00805611" w:rsidRDefault="00805611" w:rsidP="00805611">
                  <w:pPr>
                    <w:pStyle w:val="NoSpacing"/>
                    <w:spacing w:before="120" w:after="120"/>
                    <w:rPr>
                      <w:rFonts w:ascii="Arial" w:hAnsi="Arial" w:cs="Arial"/>
                    </w:rPr>
                  </w:pPr>
                  <w:r w:rsidRPr="00805611">
                    <w:rPr>
                      <w:rFonts w:ascii="Arial" w:hAnsi="Arial" w:cs="Arial"/>
                    </w:rPr>
                    <w:t xml:space="preserve">People who need </w:t>
                  </w:r>
                  <w:r>
                    <w:rPr>
                      <w:rFonts w:ascii="Arial" w:hAnsi="Arial" w:cs="Arial"/>
                    </w:rPr>
                    <w:t xml:space="preserve">a detailed knowledge of the </w:t>
                  </w:r>
                  <w:r w:rsidR="00E84361">
                    <w:rPr>
                      <w:rFonts w:ascii="Arial" w:hAnsi="Arial" w:cs="Arial"/>
                    </w:rPr>
                    <w:t>Code of Practice</w:t>
                  </w:r>
                </w:p>
              </w:tc>
              <w:tc>
                <w:tcPr>
                  <w:tcW w:w="2629" w:type="pct"/>
                  <w:vAlign w:val="center"/>
                </w:tcPr>
                <w:p w:rsidR="00805611" w:rsidRPr="0077181E" w:rsidRDefault="002F711A" w:rsidP="00805611">
                  <w:pPr>
                    <w:pStyle w:val="NoSpacing"/>
                    <w:spacing w:before="120" w:after="120"/>
                    <w:rPr>
                      <w:rFonts w:ascii="Arial" w:hAnsi="Arial" w:cs="Arial"/>
                    </w:rPr>
                  </w:pPr>
                  <w:r>
                    <w:rPr>
                      <w:rFonts w:ascii="Arial" w:hAnsi="Arial" w:cs="Arial"/>
                    </w:rPr>
                    <w:t>D</w:t>
                  </w:r>
                  <w:r w:rsidR="00A9457B">
                    <w:rPr>
                      <w:rFonts w:ascii="Arial" w:hAnsi="Arial" w:cs="Arial"/>
                    </w:rPr>
                    <w:t>ean</w:t>
                  </w:r>
                  <w:r>
                    <w:rPr>
                      <w:rFonts w:ascii="Arial" w:hAnsi="Arial" w:cs="Arial"/>
                    </w:rPr>
                    <w:t xml:space="preserve"> of Education; </w:t>
                  </w:r>
                  <w:r w:rsidR="0077181E" w:rsidRPr="0077181E">
                    <w:rPr>
                      <w:rFonts w:ascii="Arial" w:hAnsi="Arial" w:cs="Arial"/>
                    </w:rPr>
                    <w:t xml:space="preserve">Management Committee; Academic Registrar; </w:t>
                  </w:r>
                  <w:r w:rsidR="00A9457B">
                    <w:rPr>
                      <w:rFonts w:ascii="Arial" w:hAnsi="Arial" w:cs="Arial"/>
                    </w:rPr>
                    <w:t>Admissions Manager</w:t>
                  </w:r>
                  <w:r>
                    <w:rPr>
                      <w:rFonts w:ascii="Arial" w:hAnsi="Arial" w:cs="Arial"/>
                    </w:rPr>
                    <w:t xml:space="preserve">; </w:t>
                  </w:r>
                  <w:r w:rsidR="0077181E" w:rsidRPr="0077181E">
                    <w:rPr>
                      <w:rFonts w:ascii="Arial" w:hAnsi="Arial" w:cs="Arial"/>
                    </w:rPr>
                    <w:t>Finance Office</w:t>
                  </w:r>
                </w:p>
              </w:tc>
            </w:tr>
            <w:tr w:rsidR="00805611" w:rsidRPr="00853D2A" w:rsidTr="00805611">
              <w:trPr>
                <w:trHeight w:val="397"/>
              </w:trPr>
              <w:tc>
                <w:tcPr>
                  <w:tcW w:w="2371" w:type="pct"/>
                  <w:vAlign w:val="center"/>
                </w:tcPr>
                <w:p w:rsidR="00805611" w:rsidRPr="00805611" w:rsidRDefault="00805611" w:rsidP="00805611">
                  <w:pPr>
                    <w:pStyle w:val="NoSpacing"/>
                    <w:spacing w:before="120" w:after="120"/>
                    <w:rPr>
                      <w:rFonts w:ascii="Arial" w:hAnsi="Arial" w:cs="Arial"/>
                    </w:rPr>
                  </w:pPr>
                  <w:r w:rsidRPr="00805611">
                    <w:rPr>
                      <w:rFonts w:ascii="Arial" w:hAnsi="Arial" w:cs="Arial"/>
                    </w:rPr>
                    <w:t xml:space="preserve">People who need a broad understanding of </w:t>
                  </w:r>
                  <w:r w:rsidR="00E84361">
                    <w:rPr>
                      <w:rFonts w:ascii="Arial" w:hAnsi="Arial" w:cs="Arial"/>
                    </w:rPr>
                    <w:t>the Code of Practice</w:t>
                  </w:r>
                </w:p>
              </w:tc>
              <w:tc>
                <w:tcPr>
                  <w:tcW w:w="2629" w:type="pct"/>
                  <w:vAlign w:val="center"/>
                </w:tcPr>
                <w:p w:rsidR="00805611" w:rsidRPr="00805611" w:rsidRDefault="0077181E" w:rsidP="0077181E">
                  <w:pPr>
                    <w:pStyle w:val="NoSpacing"/>
                    <w:spacing w:before="120" w:after="120"/>
                    <w:rPr>
                      <w:rFonts w:ascii="Arial" w:hAnsi="Arial" w:cs="Arial"/>
                    </w:rPr>
                  </w:pPr>
                  <w:r>
                    <w:rPr>
                      <w:rFonts w:ascii="Arial" w:hAnsi="Arial" w:cs="Arial"/>
                    </w:rPr>
                    <w:t>Quality Unit; Directors of Studies</w:t>
                  </w:r>
                  <w:r w:rsidR="00112B19">
                    <w:rPr>
                      <w:rFonts w:ascii="Arial" w:hAnsi="Arial" w:cs="Arial"/>
                    </w:rPr>
                    <w:t>; Students</w:t>
                  </w:r>
                  <w:r>
                    <w:rPr>
                      <w:rFonts w:ascii="Arial" w:hAnsi="Arial" w:cs="Arial"/>
                    </w:rPr>
                    <w:t xml:space="preserve"> </w:t>
                  </w:r>
                </w:p>
              </w:tc>
            </w:tr>
            <w:tr w:rsidR="00805611" w:rsidRPr="00853D2A" w:rsidTr="00805611">
              <w:trPr>
                <w:trHeight w:val="397"/>
              </w:trPr>
              <w:tc>
                <w:tcPr>
                  <w:tcW w:w="2371" w:type="pct"/>
                  <w:vAlign w:val="center"/>
                </w:tcPr>
                <w:p w:rsidR="00805611" w:rsidRPr="00805611" w:rsidRDefault="00805611" w:rsidP="00805611">
                  <w:pPr>
                    <w:pStyle w:val="NoSpacing"/>
                    <w:spacing w:before="120" w:after="120"/>
                    <w:rPr>
                      <w:rFonts w:ascii="Arial" w:hAnsi="Arial" w:cs="Arial"/>
                    </w:rPr>
                  </w:pPr>
                  <w:r w:rsidRPr="00805611">
                    <w:rPr>
                      <w:rFonts w:ascii="Arial" w:hAnsi="Arial" w:cs="Arial"/>
                    </w:rPr>
                    <w:t xml:space="preserve">People who need to know that </w:t>
                  </w:r>
                  <w:r>
                    <w:rPr>
                      <w:rFonts w:ascii="Arial" w:hAnsi="Arial" w:cs="Arial"/>
                    </w:rPr>
                    <w:t xml:space="preserve">the </w:t>
                  </w:r>
                  <w:r w:rsidR="00E84361">
                    <w:rPr>
                      <w:rFonts w:ascii="Arial" w:hAnsi="Arial" w:cs="Arial"/>
                    </w:rPr>
                    <w:t>Code of Practice</w:t>
                  </w:r>
                  <w:r>
                    <w:rPr>
                      <w:rFonts w:ascii="Arial" w:hAnsi="Arial" w:cs="Arial"/>
                    </w:rPr>
                    <w:t xml:space="preserve"> </w:t>
                  </w:r>
                  <w:r w:rsidRPr="00805611">
                    <w:rPr>
                      <w:rFonts w:ascii="Arial" w:hAnsi="Arial" w:cs="Arial"/>
                    </w:rPr>
                    <w:t>exists</w:t>
                  </w:r>
                </w:p>
              </w:tc>
              <w:tc>
                <w:tcPr>
                  <w:tcW w:w="2629" w:type="pct"/>
                  <w:vAlign w:val="center"/>
                </w:tcPr>
                <w:p w:rsidR="00805611" w:rsidRPr="00805611" w:rsidRDefault="0077181E" w:rsidP="00805611">
                  <w:pPr>
                    <w:pStyle w:val="NoSpacing"/>
                    <w:spacing w:before="120" w:after="120"/>
                    <w:rPr>
                      <w:rFonts w:ascii="Arial" w:hAnsi="Arial" w:cs="Arial"/>
                    </w:rPr>
                  </w:pPr>
                  <w:r>
                    <w:rPr>
                      <w:rFonts w:ascii="Arial" w:hAnsi="Arial" w:cs="Arial"/>
                    </w:rPr>
                    <w:t>Academic staff</w:t>
                  </w:r>
                </w:p>
              </w:tc>
            </w:tr>
          </w:tbl>
          <w:p w:rsidR="00805611" w:rsidRPr="00853D2A" w:rsidRDefault="00805611" w:rsidP="00805611">
            <w:pPr>
              <w:pStyle w:val="NoSpacing"/>
              <w:rPr>
                <w:rFonts w:ascii="Arial" w:hAnsi="Arial" w:cs="Arial"/>
                <w:sz w:val="20"/>
              </w:rPr>
            </w:pPr>
          </w:p>
        </w:tc>
      </w:tr>
    </w:tbl>
    <w:p w:rsidR="00876075" w:rsidRPr="00876075" w:rsidRDefault="00ED4A53" w:rsidP="00E21955">
      <w:pPr>
        <w:pStyle w:val="HeadingListStyle"/>
        <w:keepNext/>
        <w:numPr>
          <w:ilvl w:val="0"/>
          <w:numId w:val="0"/>
        </w:numPr>
        <w:pBdr>
          <w:top w:val="single" w:sz="4" w:space="9" w:color="943634" w:themeColor="accent2" w:themeShade="BF"/>
          <w:bottom w:val="single" w:sz="4" w:space="9" w:color="943634" w:themeColor="accent2" w:themeShade="BF"/>
        </w:pBdr>
        <w:spacing w:before="360" w:line="276" w:lineRule="auto"/>
        <w:contextualSpacing w:val="0"/>
        <w:rPr>
          <w:color w:val="943634" w:themeColor="accent2" w:themeShade="BF"/>
          <w:sz w:val="32"/>
          <w:szCs w:val="32"/>
          <w:u w:val="none"/>
        </w:rPr>
      </w:pPr>
      <w:r>
        <w:br w:type="page"/>
      </w:r>
      <w:r w:rsidRPr="00876075">
        <w:rPr>
          <w:color w:val="943634" w:themeColor="accent2" w:themeShade="BF"/>
          <w:sz w:val="32"/>
          <w:szCs w:val="32"/>
          <w:u w:val="none"/>
        </w:rPr>
        <w:lastRenderedPageBreak/>
        <w:t>Contents</w:t>
      </w:r>
    </w:p>
    <w:p w:rsidR="00CA37AD" w:rsidRDefault="00876075">
      <w:pPr>
        <w:pStyle w:val="TOC1"/>
        <w:rPr>
          <w:rFonts w:asciiTheme="minorHAnsi" w:hAnsiTheme="minorHAnsi" w:cstheme="minorBidi"/>
          <w:bCs w:val="0"/>
          <w:sz w:val="22"/>
          <w:szCs w:val="22"/>
        </w:rPr>
      </w:pPr>
      <w:r w:rsidRPr="00846FB2">
        <w:rPr>
          <w:color w:val="943634" w:themeColor="accent2" w:themeShade="BF"/>
        </w:rPr>
        <w:fldChar w:fldCharType="begin"/>
      </w:r>
      <w:r w:rsidRPr="00846FB2">
        <w:rPr>
          <w:color w:val="943634" w:themeColor="accent2" w:themeShade="BF"/>
        </w:rPr>
        <w:instrText xml:space="preserve"> TOC \p " " \h \z \t "CoP border heading,1" </w:instrText>
      </w:r>
      <w:r w:rsidRPr="00846FB2">
        <w:rPr>
          <w:color w:val="943634" w:themeColor="accent2" w:themeShade="BF"/>
        </w:rPr>
        <w:fldChar w:fldCharType="separate"/>
      </w:r>
      <w:hyperlink w:anchor="_Toc410640252" w:history="1">
        <w:r w:rsidR="00CA37AD" w:rsidRPr="003A1EC3">
          <w:rPr>
            <w:rStyle w:val="Hyperlink"/>
          </w:rPr>
          <w:t>1</w:t>
        </w:r>
        <w:r w:rsidR="00CA37AD">
          <w:rPr>
            <w:rFonts w:asciiTheme="minorHAnsi" w:hAnsiTheme="minorHAnsi" w:cstheme="minorBidi"/>
            <w:bCs w:val="0"/>
            <w:sz w:val="22"/>
            <w:szCs w:val="22"/>
          </w:rPr>
          <w:tab/>
        </w:r>
        <w:r w:rsidR="00CA37AD" w:rsidRPr="003A1EC3">
          <w:rPr>
            <w:rStyle w:val="Hyperlink"/>
          </w:rPr>
          <w:t>Introduction and Context</w:t>
        </w:r>
        <w:r w:rsidR="00CA37AD">
          <w:rPr>
            <w:webHidden/>
          </w:rPr>
          <w:t xml:space="preserve"> </w:t>
        </w:r>
        <w:r w:rsidR="00CA37AD">
          <w:rPr>
            <w:webHidden/>
          </w:rPr>
          <w:tab/>
        </w:r>
        <w:r w:rsidR="00CA37AD">
          <w:rPr>
            <w:webHidden/>
          </w:rPr>
          <w:fldChar w:fldCharType="begin"/>
        </w:r>
        <w:r w:rsidR="00CA37AD">
          <w:rPr>
            <w:webHidden/>
          </w:rPr>
          <w:instrText xml:space="preserve"> PAGEREF _Toc410640252 \h </w:instrText>
        </w:r>
        <w:r w:rsidR="00CA37AD">
          <w:rPr>
            <w:webHidden/>
          </w:rPr>
        </w:r>
        <w:r w:rsidR="00CA37AD">
          <w:rPr>
            <w:webHidden/>
          </w:rPr>
          <w:fldChar w:fldCharType="separate"/>
        </w:r>
        <w:r w:rsidR="00162042">
          <w:rPr>
            <w:webHidden/>
          </w:rPr>
          <w:t>3</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3" w:history="1">
        <w:r w:rsidR="00CA37AD" w:rsidRPr="003A1EC3">
          <w:rPr>
            <w:rStyle w:val="Hyperlink"/>
          </w:rPr>
          <w:t>2</w:t>
        </w:r>
        <w:r w:rsidR="00CA37AD">
          <w:rPr>
            <w:rFonts w:asciiTheme="minorHAnsi" w:hAnsiTheme="minorHAnsi" w:cstheme="minorBidi"/>
            <w:bCs w:val="0"/>
            <w:sz w:val="22"/>
            <w:szCs w:val="22"/>
          </w:rPr>
          <w:tab/>
        </w:r>
        <w:r w:rsidR="00CA37AD" w:rsidRPr="003A1EC3">
          <w:rPr>
            <w:rStyle w:val="Hyperlink"/>
          </w:rPr>
          <w:t>Scope</w:t>
        </w:r>
        <w:r w:rsidR="00CA37AD">
          <w:rPr>
            <w:webHidden/>
          </w:rPr>
          <w:t xml:space="preserve"> </w:t>
        </w:r>
        <w:r w:rsidR="00CA37AD">
          <w:rPr>
            <w:webHidden/>
          </w:rPr>
          <w:tab/>
        </w:r>
        <w:r w:rsidR="00CA37AD">
          <w:rPr>
            <w:webHidden/>
          </w:rPr>
          <w:fldChar w:fldCharType="begin"/>
        </w:r>
        <w:r w:rsidR="00CA37AD">
          <w:rPr>
            <w:webHidden/>
          </w:rPr>
          <w:instrText xml:space="preserve"> PAGEREF _Toc410640253 \h </w:instrText>
        </w:r>
        <w:r w:rsidR="00CA37AD">
          <w:rPr>
            <w:webHidden/>
          </w:rPr>
        </w:r>
        <w:r w:rsidR="00CA37AD">
          <w:rPr>
            <w:webHidden/>
          </w:rPr>
          <w:fldChar w:fldCharType="separate"/>
        </w:r>
        <w:r w:rsidR="00162042">
          <w:rPr>
            <w:webHidden/>
          </w:rPr>
          <w:t>3</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4" w:history="1">
        <w:r w:rsidR="00CA37AD" w:rsidRPr="003A1EC3">
          <w:rPr>
            <w:rStyle w:val="Hyperlink"/>
          </w:rPr>
          <w:t>3</w:t>
        </w:r>
        <w:r w:rsidR="00CA37AD">
          <w:rPr>
            <w:rFonts w:asciiTheme="minorHAnsi" w:hAnsiTheme="minorHAnsi" w:cstheme="minorBidi"/>
            <w:bCs w:val="0"/>
            <w:sz w:val="22"/>
            <w:szCs w:val="22"/>
          </w:rPr>
          <w:tab/>
        </w:r>
        <w:r w:rsidR="00CA37AD" w:rsidRPr="003A1EC3">
          <w:rPr>
            <w:rStyle w:val="Hyperlink"/>
          </w:rPr>
          <w:t>Roles and Responsibilities</w:t>
        </w:r>
        <w:r w:rsidR="00CA37AD">
          <w:rPr>
            <w:webHidden/>
          </w:rPr>
          <w:t xml:space="preserve"> </w:t>
        </w:r>
        <w:r w:rsidR="00CA37AD">
          <w:rPr>
            <w:webHidden/>
          </w:rPr>
          <w:tab/>
        </w:r>
        <w:r w:rsidR="00CA37AD">
          <w:rPr>
            <w:webHidden/>
          </w:rPr>
          <w:fldChar w:fldCharType="begin"/>
        </w:r>
        <w:r w:rsidR="00CA37AD">
          <w:rPr>
            <w:webHidden/>
          </w:rPr>
          <w:instrText xml:space="preserve"> PAGEREF _Toc410640254 \h </w:instrText>
        </w:r>
        <w:r w:rsidR="00CA37AD">
          <w:rPr>
            <w:webHidden/>
          </w:rPr>
        </w:r>
        <w:r w:rsidR="00CA37AD">
          <w:rPr>
            <w:webHidden/>
          </w:rPr>
          <w:fldChar w:fldCharType="separate"/>
        </w:r>
        <w:r w:rsidR="00162042">
          <w:rPr>
            <w:webHidden/>
          </w:rPr>
          <w:t>3</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5" w:history="1">
        <w:r w:rsidR="00CA37AD" w:rsidRPr="003A1EC3">
          <w:rPr>
            <w:rStyle w:val="Hyperlink"/>
          </w:rPr>
          <w:t>4</w:t>
        </w:r>
        <w:r w:rsidR="00CA37AD">
          <w:rPr>
            <w:rFonts w:asciiTheme="minorHAnsi" w:hAnsiTheme="minorHAnsi" w:cstheme="minorBidi"/>
            <w:bCs w:val="0"/>
            <w:sz w:val="22"/>
            <w:szCs w:val="22"/>
          </w:rPr>
          <w:tab/>
        </w:r>
        <w:r w:rsidR="00CA37AD" w:rsidRPr="003A1EC3">
          <w:rPr>
            <w:rStyle w:val="Hyperlink"/>
          </w:rPr>
          <w:t>Setting of Fees</w:t>
        </w:r>
        <w:r w:rsidR="00CA37AD">
          <w:rPr>
            <w:webHidden/>
          </w:rPr>
          <w:t xml:space="preserve"> </w:t>
        </w:r>
        <w:r w:rsidR="00CA37AD">
          <w:rPr>
            <w:webHidden/>
          </w:rPr>
          <w:tab/>
        </w:r>
        <w:r w:rsidR="00CA37AD">
          <w:rPr>
            <w:webHidden/>
          </w:rPr>
          <w:fldChar w:fldCharType="begin"/>
        </w:r>
        <w:r w:rsidR="00CA37AD">
          <w:rPr>
            <w:webHidden/>
          </w:rPr>
          <w:instrText xml:space="preserve"> PAGEREF _Toc410640255 \h </w:instrText>
        </w:r>
        <w:r w:rsidR="00CA37AD">
          <w:rPr>
            <w:webHidden/>
          </w:rPr>
        </w:r>
        <w:r w:rsidR="00CA37AD">
          <w:rPr>
            <w:webHidden/>
          </w:rPr>
          <w:fldChar w:fldCharType="separate"/>
        </w:r>
        <w:r w:rsidR="00162042">
          <w:rPr>
            <w:webHidden/>
          </w:rPr>
          <w:t>3</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6" w:history="1">
        <w:r w:rsidR="00CA37AD" w:rsidRPr="003A1EC3">
          <w:rPr>
            <w:rStyle w:val="Hyperlink"/>
          </w:rPr>
          <w:t>5</w:t>
        </w:r>
        <w:r w:rsidR="00CA37AD">
          <w:rPr>
            <w:rFonts w:asciiTheme="minorHAnsi" w:hAnsiTheme="minorHAnsi" w:cstheme="minorBidi"/>
            <w:bCs w:val="0"/>
            <w:sz w:val="22"/>
            <w:szCs w:val="22"/>
          </w:rPr>
          <w:tab/>
        </w:r>
        <w:r w:rsidR="00CA37AD" w:rsidRPr="003A1EC3">
          <w:rPr>
            <w:rStyle w:val="Hyperlink"/>
          </w:rPr>
          <w:t>Master’s programmes</w:t>
        </w:r>
        <w:r w:rsidR="00CA37AD">
          <w:rPr>
            <w:webHidden/>
          </w:rPr>
          <w:t xml:space="preserve"> </w:t>
        </w:r>
        <w:r w:rsidR="00CA37AD">
          <w:rPr>
            <w:webHidden/>
          </w:rPr>
          <w:tab/>
        </w:r>
        <w:r w:rsidR="00CA37AD">
          <w:rPr>
            <w:webHidden/>
          </w:rPr>
          <w:fldChar w:fldCharType="begin"/>
        </w:r>
        <w:r w:rsidR="00CA37AD">
          <w:rPr>
            <w:webHidden/>
          </w:rPr>
          <w:instrText xml:space="preserve"> PAGEREF _Toc410640256 \h </w:instrText>
        </w:r>
        <w:r w:rsidR="00CA37AD">
          <w:rPr>
            <w:webHidden/>
          </w:rPr>
        </w:r>
        <w:r w:rsidR="00CA37AD">
          <w:rPr>
            <w:webHidden/>
          </w:rPr>
          <w:fldChar w:fldCharType="separate"/>
        </w:r>
        <w:r w:rsidR="00162042">
          <w:rPr>
            <w:webHidden/>
          </w:rPr>
          <w:t>4</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7" w:history="1">
        <w:r w:rsidR="00CA37AD" w:rsidRPr="003A1EC3">
          <w:rPr>
            <w:rStyle w:val="Hyperlink"/>
          </w:rPr>
          <w:t>6</w:t>
        </w:r>
        <w:r w:rsidR="00CA37AD">
          <w:rPr>
            <w:rFonts w:asciiTheme="minorHAnsi" w:hAnsiTheme="minorHAnsi" w:cstheme="minorBidi"/>
            <w:bCs w:val="0"/>
            <w:sz w:val="22"/>
            <w:szCs w:val="22"/>
          </w:rPr>
          <w:tab/>
        </w:r>
        <w:r w:rsidR="00CA37AD" w:rsidRPr="003A1EC3">
          <w:rPr>
            <w:rStyle w:val="Hyperlink"/>
          </w:rPr>
          <w:t>Professional Diplomas and Short Courses</w:t>
        </w:r>
        <w:r w:rsidR="00CA37AD">
          <w:rPr>
            <w:webHidden/>
          </w:rPr>
          <w:t xml:space="preserve"> </w:t>
        </w:r>
        <w:r w:rsidR="00CA37AD">
          <w:rPr>
            <w:webHidden/>
          </w:rPr>
          <w:tab/>
        </w:r>
        <w:r w:rsidR="00CA37AD">
          <w:rPr>
            <w:webHidden/>
          </w:rPr>
          <w:fldChar w:fldCharType="begin"/>
        </w:r>
        <w:r w:rsidR="00CA37AD">
          <w:rPr>
            <w:webHidden/>
          </w:rPr>
          <w:instrText xml:space="preserve"> PAGEREF _Toc410640257 \h </w:instrText>
        </w:r>
        <w:r w:rsidR="00CA37AD">
          <w:rPr>
            <w:webHidden/>
          </w:rPr>
        </w:r>
        <w:r w:rsidR="00CA37AD">
          <w:rPr>
            <w:webHidden/>
          </w:rPr>
          <w:fldChar w:fldCharType="separate"/>
        </w:r>
        <w:r w:rsidR="00162042">
          <w:rPr>
            <w:webHidden/>
          </w:rPr>
          <w:t>5</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8" w:history="1">
        <w:r w:rsidR="00CA37AD" w:rsidRPr="003A1EC3">
          <w:rPr>
            <w:rStyle w:val="Hyperlink"/>
          </w:rPr>
          <w:t>7</w:t>
        </w:r>
        <w:r w:rsidR="00CA37AD">
          <w:rPr>
            <w:rFonts w:asciiTheme="minorHAnsi" w:hAnsiTheme="minorHAnsi" w:cstheme="minorBidi"/>
            <w:bCs w:val="0"/>
            <w:sz w:val="22"/>
            <w:szCs w:val="22"/>
          </w:rPr>
          <w:tab/>
        </w:r>
        <w:r w:rsidR="00CA37AD" w:rsidRPr="003A1EC3">
          <w:rPr>
            <w:rStyle w:val="Hyperlink"/>
          </w:rPr>
          <w:t>Research Programmes</w:t>
        </w:r>
        <w:r w:rsidR="00CA37AD">
          <w:rPr>
            <w:webHidden/>
          </w:rPr>
          <w:t xml:space="preserve"> </w:t>
        </w:r>
        <w:r w:rsidR="00CA37AD">
          <w:rPr>
            <w:webHidden/>
          </w:rPr>
          <w:tab/>
        </w:r>
        <w:r w:rsidR="00CA37AD">
          <w:rPr>
            <w:webHidden/>
          </w:rPr>
          <w:fldChar w:fldCharType="begin"/>
        </w:r>
        <w:r w:rsidR="00CA37AD">
          <w:rPr>
            <w:webHidden/>
          </w:rPr>
          <w:instrText xml:space="preserve"> PAGEREF _Toc410640258 \h </w:instrText>
        </w:r>
        <w:r w:rsidR="00CA37AD">
          <w:rPr>
            <w:webHidden/>
          </w:rPr>
        </w:r>
        <w:r w:rsidR="00CA37AD">
          <w:rPr>
            <w:webHidden/>
          </w:rPr>
          <w:fldChar w:fldCharType="separate"/>
        </w:r>
        <w:r w:rsidR="00162042">
          <w:rPr>
            <w:webHidden/>
          </w:rPr>
          <w:t>5</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59" w:history="1">
        <w:r w:rsidR="00CA37AD" w:rsidRPr="003A1EC3">
          <w:rPr>
            <w:rStyle w:val="Hyperlink"/>
          </w:rPr>
          <w:t>8</w:t>
        </w:r>
        <w:r w:rsidR="00CA37AD">
          <w:rPr>
            <w:rFonts w:asciiTheme="minorHAnsi" w:hAnsiTheme="minorHAnsi" w:cstheme="minorBidi"/>
            <w:bCs w:val="0"/>
            <w:sz w:val="22"/>
            <w:szCs w:val="22"/>
          </w:rPr>
          <w:tab/>
        </w:r>
        <w:r w:rsidR="00CA37AD" w:rsidRPr="003A1EC3">
          <w:rPr>
            <w:rStyle w:val="Hyperlink"/>
          </w:rPr>
          <w:t>Debtors</w:t>
        </w:r>
        <w:r w:rsidR="00CA37AD">
          <w:rPr>
            <w:webHidden/>
          </w:rPr>
          <w:t xml:space="preserve"> </w:t>
        </w:r>
        <w:r w:rsidR="00CA37AD">
          <w:rPr>
            <w:webHidden/>
          </w:rPr>
          <w:tab/>
        </w:r>
        <w:r w:rsidR="00CA37AD">
          <w:rPr>
            <w:webHidden/>
          </w:rPr>
          <w:fldChar w:fldCharType="begin"/>
        </w:r>
        <w:r w:rsidR="00CA37AD">
          <w:rPr>
            <w:webHidden/>
          </w:rPr>
          <w:instrText xml:space="preserve"> PAGEREF _Toc410640259 \h </w:instrText>
        </w:r>
        <w:r w:rsidR="00CA37AD">
          <w:rPr>
            <w:webHidden/>
          </w:rPr>
        </w:r>
        <w:r w:rsidR="00CA37AD">
          <w:rPr>
            <w:webHidden/>
          </w:rPr>
          <w:fldChar w:fldCharType="separate"/>
        </w:r>
        <w:r w:rsidR="00162042">
          <w:rPr>
            <w:webHidden/>
          </w:rPr>
          <w:t>6</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60" w:history="1">
        <w:r w:rsidR="00CA37AD" w:rsidRPr="003A1EC3">
          <w:rPr>
            <w:rStyle w:val="Hyperlink"/>
          </w:rPr>
          <w:t>9</w:t>
        </w:r>
        <w:r w:rsidR="00CA37AD">
          <w:rPr>
            <w:rFonts w:asciiTheme="minorHAnsi" w:hAnsiTheme="minorHAnsi" w:cstheme="minorBidi"/>
            <w:bCs w:val="0"/>
            <w:sz w:val="22"/>
            <w:szCs w:val="22"/>
          </w:rPr>
          <w:tab/>
        </w:r>
        <w:r w:rsidR="00CA37AD" w:rsidRPr="003A1EC3">
          <w:rPr>
            <w:rStyle w:val="Hyperlink"/>
          </w:rPr>
          <w:t>Changes to Programmes</w:t>
        </w:r>
        <w:r w:rsidR="00CA37AD">
          <w:rPr>
            <w:webHidden/>
          </w:rPr>
          <w:t xml:space="preserve"> </w:t>
        </w:r>
        <w:r w:rsidR="00CA37AD">
          <w:rPr>
            <w:webHidden/>
          </w:rPr>
          <w:tab/>
        </w:r>
        <w:r w:rsidR="00CA37AD">
          <w:rPr>
            <w:webHidden/>
          </w:rPr>
          <w:fldChar w:fldCharType="begin"/>
        </w:r>
        <w:r w:rsidR="00CA37AD">
          <w:rPr>
            <w:webHidden/>
          </w:rPr>
          <w:instrText xml:space="preserve"> PAGEREF _Toc410640260 \h </w:instrText>
        </w:r>
        <w:r w:rsidR="00CA37AD">
          <w:rPr>
            <w:webHidden/>
          </w:rPr>
        </w:r>
        <w:r w:rsidR="00CA37AD">
          <w:rPr>
            <w:webHidden/>
          </w:rPr>
          <w:fldChar w:fldCharType="separate"/>
        </w:r>
        <w:r w:rsidR="00162042">
          <w:rPr>
            <w:webHidden/>
          </w:rPr>
          <w:t>7</w:t>
        </w:r>
        <w:r w:rsidR="00CA37AD">
          <w:rPr>
            <w:webHidden/>
          </w:rPr>
          <w:fldChar w:fldCharType="end"/>
        </w:r>
      </w:hyperlink>
    </w:p>
    <w:p w:rsidR="00CA37AD" w:rsidRDefault="003962F0">
      <w:pPr>
        <w:pStyle w:val="TOC1"/>
        <w:rPr>
          <w:rFonts w:asciiTheme="minorHAnsi" w:hAnsiTheme="minorHAnsi" w:cstheme="minorBidi"/>
          <w:bCs w:val="0"/>
          <w:sz w:val="22"/>
          <w:szCs w:val="22"/>
        </w:rPr>
      </w:pPr>
      <w:hyperlink w:anchor="_Toc410640261" w:history="1">
        <w:r w:rsidR="00CA37AD" w:rsidRPr="003A1EC3">
          <w:rPr>
            <w:rStyle w:val="Hyperlink"/>
          </w:rPr>
          <w:t>10</w:t>
        </w:r>
        <w:r w:rsidR="00CA37AD">
          <w:rPr>
            <w:rFonts w:asciiTheme="minorHAnsi" w:hAnsiTheme="minorHAnsi" w:cstheme="minorBidi"/>
            <w:bCs w:val="0"/>
            <w:sz w:val="22"/>
            <w:szCs w:val="22"/>
          </w:rPr>
          <w:tab/>
        </w:r>
        <w:r w:rsidR="00CA37AD" w:rsidRPr="003A1EC3">
          <w:rPr>
            <w:rStyle w:val="Hyperlink"/>
          </w:rPr>
          <w:t>Financial Regulations Governing Payment of Refunds</w:t>
        </w:r>
        <w:r w:rsidR="00CA37AD">
          <w:rPr>
            <w:webHidden/>
          </w:rPr>
          <w:t xml:space="preserve"> </w:t>
        </w:r>
        <w:r w:rsidR="00CA37AD">
          <w:rPr>
            <w:webHidden/>
          </w:rPr>
          <w:tab/>
        </w:r>
        <w:r w:rsidR="00CA37AD">
          <w:rPr>
            <w:webHidden/>
          </w:rPr>
          <w:fldChar w:fldCharType="begin"/>
        </w:r>
        <w:r w:rsidR="00CA37AD">
          <w:rPr>
            <w:webHidden/>
          </w:rPr>
          <w:instrText xml:space="preserve"> PAGEREF _Toc410640261 \h </w:instrText>
        </w:r>
        <w:r w:rsidR="00CA37AD">
          <w:rPr>
            <w:webHidden/>
          </w:rPr>
        </w:r>
        <w:r w:rsidR="00CA37AD">
          <w:rPr>
            <w:webHidden/>
          </w:rPr>
          <w:fldChar w:fldCharType="separate"/>
        </w:r>
        <w:r w:rsidR="00162042">
          <w:rPr>
            <w:webHidden/>
          </w:rPr>
          <w:t>7</w:t>
        </w:r>
        <w:r w:rsidR="00CA37AD">
          <w:rPr>
            <w:webHidden/>
          </w:rPr>
          <w:fldChar w:fldCharType="end"/>
        </w:r>
      </w:hyperlink>
    </w:p>
    <w:p w:rsidR="00876075" w:rsidRDefault="00876075" w:rsidP="003979F5">
      <w:pPr>
        <w:spacing w:before="240" w:after="240"/>
        <w:rPr>
          <w:rFonts w:ascii="Arial" w:hAnsi="Arial" w:cs="Arial"/>
          <w:b/>
          <w:bCs/>
          <w:color w:val="943634" w:themeColor="accent2" w:themeShade="BF"/>
          <w:sz w:val="24"/>
          <w:szCs w:val="24"/>
        </w:rPr>
      </w:pPr>
      <w:r w:rsidRPr="00846FB2">
        <w:rPr>
          <w:rFonts w:ascii="Arial" w:hAnsi="Arial" w:cs="Arial"/>
          <w:color w:val="943634" w:themeColor="accent2" w:themeShade="BF"/>
          <w:sz w:val="28"/>
          <w:szCs w:val="28"/>
        </w:rPr>
        <w:fldChar w:fldCharType="end"/>
      </w:r>
      <w:r>
        <w:rPr>
          <w:color w:val="943634" w:themeColor="accent2" w:themeShade="BF"/>
          <w:sz w:val="24"/>
          <w:szCs w:val="24"/>
        </w:rPr>
        <w:br w:type="page"/>
      </w:r>
    </w:p>
    <w:p w:rsidR="00ED4A53" w:rsidRPr="00D23717" w:rsidRDefault="00981629" w:rsidP="00846FB2">
      <w:pPr>
        <w:pStyle w:val="CoPborderheading"/>
        <w:rPr>
          <w:rFonts w:hint="eastAsia"/>
        </w:rPr>
      </w:pPr>
      <w:bookmarkStart w:id="0" w:name="_Toc342395970"/>
      <w:bookmarkStart w:id="1" w:name="_Toc410640252"/>
      <w:r w:rsidRPr="00D23717">
        <w:lastRenderedPageBreak/>
        <w:t xml:space="preserve">Introduction </w:t>
      </w:r>
      <w:r w:rsidR="00E92B0F" w:rsidRPr="00D23717">
        <w:t>and Context</w:t>
      </w:r>
      <w:bookmarkEnd w:id="0"/>
      <w:bookmarkEnd w:id="1"/>
      <w:r w:rsidR="00ED4A53" w:rsidRPr="00D23717">
        <w:t xml:space="preserve"> </w:t>
      </w:r>
    </w:p>
    <w:p w:rsidR="00CD04F2" w:rsidRDefault="00CD04F2" w:rsidP="00CD04F2">
      <w:pPr>
        <w:pStyle w:val="CoPNumberlevel1"/>
      </w:pPr>
      <w:bookmarkStart w:id="2" w:name="_Toc342395969"/>
      <w:r>
        <w:t>As</w:t>
      </w:r>
      <w:r w:rsidRPr="009E5E1A">
        <w:t xml:space="preserve"> </w:t>
      </w:r>
      <w:r>
        <w:t xml:space="preserve">an </w:t>
      </w:r>
      <w:r w:rsidRPr="009E5E1A">
        <w:t>international centre of excellence</w:t>
      </w:r>
      <w:r>
        <w:t xml:space="preserve"> for postgraduate education, </w:t>
      </w:r>
      <w:r w:rsidR="001429B4">
        <w:t>the Liverpool School of Tropical Medicine (</w:t>
      </w:r>
      <w:r>
        <w:t>LSTM</w:t>
      </w:r>
      <w:r w:rsidR="001429B4">
        <w:t>)</w:t>
      </w:r>
      <w:r>
        <w:t xml:space="preserve"> </w:t>
      </w:r>
      <w:r w:rsidRPr="009E5E1A">
        <w:t xml:space="preserve">recognises the </w:t>
      </w:r>
      <w:r w:rsidRPr="00145533">
        <w:t>importance</w:t>
      </w:r>
      <w:r w:rsidRPr="009E5E1A">
        <w:t xml:space="preserve"> of implementing p</w:t>
      </w:r>
      <w:r>
        <w:t xml:space="preserve">rocesses for the payment and refund of fees that are fair, </w:t>
      </w:r>
      <w:r w:rsidRPr="009E5E1A">
        <w:t>explicit and consistent</w:t>
      </w:r>
      <w:r>
        <w:t xml:space="preserve">. </w:t>
      </w:r>
    </w:p>
    <w:p w:rsidR="00CD04F2" w:rsidRPr="00E92B0F" w:rsidRDefault="00CD04F2" w:rsidP="00CD04F2">
      <w:pPr>
        <w:pStyle w:val="CoPNumberlevel1"/>
      </w:pPr>
      <w:r>
        <w:t>T</w:t>
      </w:r>
      <w:r w:rsidRPr="00E92B0F">
        <w:t xml:space="preserve">his Code of Practice </w:t>
      </w:r>
      <w:r>
        <w:t>i</w:t>
      </w:r>
      <w:r w:rsidRPr="00E92B0F">
        <w:t xml:space="preserve">s set within the context of the UK Quality Code for Higher Education Chapter B2: Recruitment, selection and admission to </w:t>
      </w:r>
      <w:r>
        <w:t>higher education (October 2013).</w:t>
      </w:r>
      <w:r w:rsidR="00EC181C">
        <w:t xml:space="preserve">  </w:t>
      </w:r>
      <w:r w:rsidR="00EC181C" w:rsidRPr="00161ACF">
        <w:t>The classification of students for fees purposes is based on the Education (Fees and Awards) Regulations 2007</w:t>
      </w:r>
      <w:r w:rsidR="00EC181C">
        <w:t>.</w:t>
      </w:r>
    </w:p>
    <w:p w:rsidR="00CD04F2" w:rsidRDefault="00CD04F2" w:rsidP="00CD04F2">
      <w:pPr>
        <w:pStyle w:val="CoPNumberlevel1"/>
      </w:pPr>
      <w:r w:rsidRPr="00E92B0F">
        <w:t xml:space="preserve">Related documents are: </w:t>
      </w:r>
    </w:p>
    <w:p w:rsidR="001429B4" w:rsidRDefault="001429B4" w:rsidP="00A70FD6">
      <w:pPr>
        <w:pStyle w:val="CoPbullet"/>
        <w:spacing w:before="60" w:after="60"/>
        <w:ind w:left="993" w:hanging="284"/>
      </w:pPr>
      <w:r>
        <w:t>Code of Practice on Admissions</w:t>
      </w:r>
    </w:p>
    <w:p w:rsidR="00C2279A" w:rsidRDefault="00CA37AD" w:rsidP="00C2279A">
      <w:pPr>
        <w:pStyle w:val="CoPbullet"/>
        <w:spacing w:before="60" w:after="60"/>
        <w:ind w:left="993" w:hanging="284"/>
      </w:pPr>
      <w:r>
        <w:t>Procedure for Awarding S</w:t>
      </w:r>
      <w:r w:rsidR="00A70FD6">
        <w:t>cholarships</w:t>
      </w:r>
      <w:r>
        <w:t xml:space="preserve"> for Taught P</w:t>
      </w:r>
      <w:r w:rsidR="005C384A">
        <w:t>rogrammes</w:t>
      </w:r>
    </w:p>
    <w:p w:rsidR="00C2279A" w:rsidRDefault="00C2279A" w:rsidP="00C2279A">
      <w:pPr>
        <w:pStyle w:val="CoPbullet"/>
        <w:spacing w:before="60" w:after="60"/>
        <w:ind w:left="993" w:hanging="284"/>
      </w:pPr>
      <w:r w:rsidRPr="00C2279A">
        <w:t>Pr</w:t>
      </w:r>
      <w:r w:rsidR="00CA37AD">
        <w:t>ocedure for Staff Undertaking LSTM Education P</w:t>
      </w:r>
      <w:r w:rsidRPr="00C2279A">
        <w:t>rogrammes</w:t>
      </w:r>
    </w:p>
    <w:p w:rsidR="00981629" w:rsidRPr="00A07F52" w:rsidRDefault="00981629" w:rsidP="00846FB2">
      <w:pPr>
        <w:pStyle w:val="CoPborderheading"/>
        <w:rPr>
          <w:rFonts w:hint="eastAsia"/>
        </w:rPr>
      </w:pPr>
      <w:bookmarkStart w:id="3" w:name="_Toc410640253"/>
      <w:r w:rsidRPr="00A07F52">
        <w:t>Scope</w:t>
      </w:r>
      <w:bookmarkEnd w:id="2"/>
      <w:bookmarkEnd w:id="3"/>
      <w:r w:rsidRPr="00A07F52">
        <w:t xml:space="preserve"> </w:t>
      </w:r>
    </w:p>
    <w:p w:rsidR="00CD04F2" w:rsidRDefault="00CD04F2" w:rsidP="001F213F">
      <w:pPr>
        <w:pStyle w:val="CoPNumberlevel1"/>
      </w:pPr>
      <w:bookmarkStart w:id="4" w:name="_Toc342395973"/>
      <w:r>
        <w:t>This Code of Practice</w:t>
      </w:r>
      <w:r w:rsidRPr="009E5E1A">
        <w:t xml:space="preserve"> applies to all </w:t>
      </w:r>
      <w:r>
        <w:t xml:space="preserve">programmes of </w:t>
      </w:r>
      <w:r w:rsidRPr="009E5E1A">
        <w:t xml:space="preserve">study at </w:t>
      </w:r>
      <w:r w:rsidR="001429B4">
        <w:t>LSTM</w:t>
      </w:r>
      <w:r w:rsidR="00E84361">
        <w:t xml:space="preserve">. </w:t>
      </w:r>
    </w:p>
    <w:p w:rsidR="00ED4A53" w:rsidRPr="00A07F52" w:rsidRDefault="00ED4A53" w:rsidP="00846FB2">
      <w:pPr>
        <w:pStyle w:val="CoPborderheading"/>
        <w:rPr>
          <w:rFonts w:hint="eastAsia"/>
        </w:rPr>
      </w:pPr>
      <w:bookmarkStart w:id="5" w:name="_Toc410640254"/>
      <w:r w:rsidRPr="00A07F52">
        <w:t>Roles and Responsibilities</w:t>
      </w:r>
      <w:bookmarkEnd w:id="4"/>
      <w:bookmarkEnd w:id="5"/>
    </w:p>
    <w:p w:rsidR="00CA37AD" w:rsidRDefault="00D06003" w:rsidP="000E03EC">
      <w:pPr>
        <w:pStyle w:val="CoPNumberlevel1"/>
      </w:pPr>
      <w:r>
        <w:t xml:space="preserve">The LSTM Management Committee is responsible for setting tuition fees for taught and research programmes. </w:t>
      </w:r>
    </w:p>
    <w:p w:rsidR="00D06003" w:rsidRDefault="00D06003" w:rsidP="000E03EC">
      <w:pPr>
        <w:pStyle w:val="CoPNumberlevel1"/>
      </w:pPr>
      <w:r>
        <w:t>The supervisor of a prospective research student is responsible for setting an additional bench fee if appropriate.</w:t>
      </w:r>
    </w:p>
    <w:p w:rsidR="000E03EC" w:rsidRDefault="001429B4" w:rsidP="00743310">
      <w:pPr>
        <w:pStyle w:val="CoPNumberlevel1"/>
      </w:pPr>
      <w:r>
        <w:t>The A</w:t>
      </w:r>
      <w:r w:rsidR="00A9457B">
        <w:t xml:space="preserve">dmissions </w:t>
      </w:r>
      <w:r w:rsidR="00183BCD">
        <w:t xml:space="preserve">and Recruitment </w:t>
      </w:r>
      <w:r w:rsidR="00A9457B">
        <w:t>Manager</w:t>
      </w:r>
      <w:r>
        <w:t xml:space="preserve"> is responsible for </w:t>
      </w:r>
      <w:r w:rsidR="00D06003">
        <w:t xml:space="preserve">invoicing </w:t>
      </w:r>
      <w:r>
        <w:t>and approv</w:t>
      </w:r>
      <w:r w:rsidR="00D06003">
        <w:t xml:space="preserve">ing </w:t>
      </w:r>
      <w:r>
        <w:t>refunds</w:t>
      </w:r>
      <w:r w:rsidR="00CA37AD">
        <w:t xml:space="preserve"> </w:t>
      </w:r>
      <w:r>
        <w:t xml:space="preserve">for </w:t>
      </w:r>
      <w:r w:rsidR="00C90E59">
        <w:t>all courses.</w:t>
      </w:r>
    </w:p>
    <w:p w:rsidR="00D06003" w:rsidRDefault="00D06003" w:rsidP="00D06003">
      <w:pPr>
        <w:pStyle w:val="CoPNumberlevel1"/>
      </w:pPr>
      <w:r>
        <w:t>The LSTM Finance Office is responsible for processing payments.</w:t>
      </w:r>
    </w:p>
    <w:p w:rsidR="008612B8" w:rsidRDefault="00CA37AD" w:rsidP="00AC5CA4">
      <w:pPr>
        <w:pStyle w:val="CoPborderheading"/>
        <w:ind w:left="680" w:hanging="680"/>
        <w:rPr>
          <w:rFonts w:hint="eastAsia"/>
        </w:rPr>
      </w:pPr>
      <w:bookmarkStart w:id="6" w:name="_Toc410640255"/>
      <w:r>
        <w:t>Setting of F</w:t>
      </w:r>
      <w:r w:rsidR="008612B8">
        <w:t>ees</w:t>
      </w:r>
      <w:bookmarkEnd w:id="6"/>
    </w:p>
    <w:p w:rsidR="008612B8" w:rsidRDefault="008612B8" w:rsidP="004A1F35">
      <w:pPr>
        <w:pStyle w:val="CoPNumberlevel1"/>
        <w:spacing w:after="0"/>
      </w:pPr>
      <w:r w:rsidRPr="00161ACF">
        <w:t>Fees</w:t>
      </w:r>
      <w:r w:rsidR="004A1F35">
        <w:t>, including concession</w:t>
      </w:r>
      <w:r w:rsidR="003F109B">
        <w:t>s</w:t>
      </w:r>
      <w:r w:rsidR="004A1F35">
        <w:t>,</w:t>
      </w:r>
      <w:r w:rsidRPr="00161ACF">
        <w:t xml:space="preserve"> </w:t>
      </w:r>
      <w:r w:rsidR="00D06003">
        <w:t xml:space="preserve">will </w:t>
      </w:r>
      <w:r w:rsidR="00EC181C">
        <w:t xml:space="preserve">normally </w:t>
      </w:r>
      <w:r w:rsidR="00D06003">
        <w:t xml:space="preserve">be </w:t>
      </w:r>
      <w:r w:rsidRPr="00161ACF">
        <w:t xml:space="preserve">set in </w:t>
      </w:r>
      <w:r w:rsidR="003F109B">
        <w:t>Nov</w:t>
      </w:r>
      <w:r w:rsidRPr="00161ACF">
        <w:t>ember for the next academic year</w:t>
      </w:r>
      <w:r w:rsidR="00D06003">
        <w:t xml:space="preserve"> </w:t>
      </w:r>
      <w:r>
        <w:t xml:space="preserve">and </w:t>
      </w:r>
      <w:r w:rsidR="005C384A">
        <w:t xml:space="preserve">will be </w:t>
      </w:r>
      <w:r>
        <w:t>listed on the LSTM website</w:t>
      </w:r>
      <w:r w:rsidR="00CA37AD">
        <w:t xml:space="preserve">. </w:t>
      </w:r>
    </w:p>
    <w:p w:rsidR="005C384A" w:rsidRPr="00161ACF" w:rsidRDefault="005C384A" w:rsidP="004A1F35">
      <w:pPr>
        <w:pStyle w:val="Style2"/>
        <w:numPr>
          <w:ilvl w:val="0"/>
          <w:numId w:val="0"/>
        </w:numPr>
        <w:ind w:left="1418" w:hanging="851"/>
      </w:pPr>
    </w:p>
    <w:p w:rsidR="008612B8" w:rsidRDefault="008612B8" w:rsidP="004A1F35">
      <w:pPr>
        <w:pStyle w:val="CoPNumberlevel1"/>
        <w:spacing w:before="0"/>
      </w:pPr>
      <w:r w:rsidRPr="00161ACF">
        <w:t xml:space="preserve">For some programmes of study, LSTM </w:t>
      </w:r>
      <w:r w:rsidR="00EC181C">
        <w:t>will charge</w:t>
      </w:r>
      <w:r w:rsidRPr="00161ACF">
        <w:t xml:space="preserve"> different fees depending on a st</w:t>
      </w:r>
      <w:r w:rsidR="00EC181C">
        <w:t>udent’s status as ‘Home</w:t>
      </w:r>
      <w:r w:rsidR="005C384A">
        <w:t>/EU</w:t>
      </w:r>
      <w:r w:rsidR="00EC181C">
        <w:t>’ or ‘O</w:t>
      </w:r>
      <w:r w:rsidRPr="00161ACF">
        <w:t>verseas’</w:t>
      </w:r>
      <w:r w:rsidR="00EC181C">
        <w:t xml:space="preserve">.  </w:t>
      </w:r>
    </w:p>
    <w:p w:rsidR="00CA37AD" w:rsidRDefault="00CA37AD" w:rsidP="00CA37AD">
      <w:pPr>
        <w:pStyle w:val="CoPNumberlevel1"/>
      </w:pPr>
      <w:r>
        <w:lastRenderedPageBreak/>
        <w:t>Details of scholarships available</w:t>
      </w:r>
      <w:r w:rsidRPr="00764250">
        <w:t xml:space="preserve"> </w:t>
      </w:r>
      <w:r>
        <w:t xml:space="preserve">to </w:t>
      </w:r>
      <w:r w:rsidRPr="00764250">
        <w:t>students offered a conditional place</w:t>
      </w:r>
      <w:r>
        <w:t xml:space="preserve"> will be advertised on the LSTM web site and will be considered according to the </w:t>
      </w:r>
      <w:r>
        <w:rPr>
          <w:i/>
        </w:rPr>
        <w:t>Procedure for Awarding S</w:t>
      </w:r>
      <w:r w:rsidRPr="00764250">
        <w:rPr>
          <w:i/>
        </w:rPr>
        <w:t xml:space="preserve">cholarships for </w:t>
      </w:r>
      <w:r>
        <w:rPr>
          <w:i/>
        </w:rPr>
        <w:t>Taught P</w:t>
      </w:r>
      <w:r w:rsidRPr="00764250">
        <w:rPr>
          <w:i/>
        </w:rPr>
        <w:t>rogrammes</w:t>
      </w:r>
      <w:r>
        <w:t>.</w:t>
      </w:r>
    </w:p>
    <w:p w:rsidR="008612B8" w:rsidRDefault="008612B8" w:rsidP="008612B8">
      <w:pPr>
        <w:pStyle w:val="CoPborderheading"/>
        <w:rPr>
          <w:rFonts w:hint="eastAsia"/>
        </w:rPr>
      </w:pPr>
      <w:bookmarkStart w:id="7" w:name="_Toc410640256"/>
      <w:r>
        <w:t>Master</w:t>
      </w:r>
      <w:r w:rsidR="00696AD5">
        <w:t>’</w:t>
      </w:r>
      <w:r>
        <w:t>s programmes</w:t>
      </w:r>
      <w:bookmarkEnd w:id="7"/>
    </w:p>
    <w:p w:rsidR="008612B8" w:rsidRDefault="00696AD5" w:rsidP="008612B8">
      <w:pPr>
        <w:pStyle w:val="CoPNumberlevel1"/>
      </w:pPr>
      <w:r>
        <w:t xml:space="preserve">Payment of a deposit </w:t>
      </w:r>
      <w:r w:rsidR="008612B8">
        <w:t xml:space="preserve">is required twelve weeks before the start of all </w:t>
      </w:r>
      <w:r>
        <w:t>p</w:t>
      </w:r>
      <w:r w:rsidR="008612B8">
        <w:t>rogrammes</w:t>
      </w:r>
      <w:r>
        <w:t xml:space="preserve"> and </w:t>
      </w:r>
      <w:r w:rsidR="008612B8">
        <w:t>i</w:t>
      </w:r>
      <w:r w:rsidR="00EC181C">
        <w:t xml:space="preserve">s a </w:t>
      </w:r>
      <w:r w:rsidR="005C384A">
        <w:t xml:space="preserve">condition for issue of a </w:t>
      </w:r>
      <w:r w:rsidR="00EC181C">
        <w:t>Confirmation of P</w:t>
      </w:r>
      <w:r w:rsidR="008612B8">
        <w:t xml:space="preserve">lace letter.  This </w:t>
      </w:r>
      <w:r>
        <w:t xml:space="preserve">deposit </w:t>
      </w:r>
      <w:r w:rsidR="008612B8">
        <w:t>is non-refundable except</w:t>
      </w:r>
      <w:r w:rsidR="005C384A">
        <w:t xml:space="preserve"> </w:t>
      </w:r>
      <w:r w:rsidR="008612B8">
        <w:t xml:space="preserve">where an application for a visa has been submitted </w:t>
      </w:r>
      <w:r w:rsidR="005C384A">
        <w:t xml:space="preserve">by an overseas student </w:t>
      </w:r>
      <w:r w:rsidR="008612B8">
        <w:t>b</w:t>
      </w:r>
      <w:r w:rsidR="008612B8" w:rsidRPr="00AB3768">
        <w:t>efore the start date</w:t>
      </w:r>
      <w:r w:rsidR="008612B8" w:rsidRPr="00D80776">
        <w:t xml:space="preserve"> of the</w:t>
      </w:r>
      <w:r w:rsidR="008612B8">
        <w:t xml:space="preserve"> </w:t>
      </w:r>
      <w:r w:rsidR="008612B8" w:rsidRPr="00D80776">
        <w:t>programme</w:t>
      </w:r>
      <w:r w:rsidR="008612B8">
        <w:t xml:space="preserve"> and has been r</w:t>
      </w:r>
      <w:r w:rsidR="00EC181C">
        <w:t>efused</w:t>
      </w:r>
      <w:r w:rsidR="0001698A">
        <w:t xml:space="preserve"> due to circumstances beyond the control of the student</w:t>
      </w:r>
      <w:r w:rsidR="00EC181C">
        <w:t>.  S</w:t>
      </w:r>
      <w:r w:rsidR="008612B8">
        <w:t>ight of the visa refusal letter will be required before a refund can be made</w:t>
      </w:r>
      <w:r w:rsidR="0001698A">
        <w:t xml:space="preserve"> and LSTM reserves the right to deny a refund where the reason cited by UKVI could have been avoided by the student</w:t>
      </w:r>
      <w:r w:rsidR="008612B8">
        <w:t xml:space="preserve">.  </w:t>
      </w:r>
    </w:p>
    <w:p w:rsidR="008612B8" w:rsidRDefault="008612B8" w:rsidP="008612B8">
      <w:pPr>
        <w:pStyle w:val="CoPNumberlevel1"/>
      </w:pPr>
      <w:r>
        <w:t>Students will be permitted to defer entry and carry payment forward for the next programme.  Fees can be carried forward for a maximum of one year</w:t>
      </w:r>
      <w:r w:rsidR="00EC181C">
        <w:t xml:space="preserve">. </w:t>
      </w:r>
    </w:p>
    <w:p w:rsidR="008612B8" w:rsidRDefault="008612B8" w:rsidP="008612B8">
      <w:pPr>
        <w:pStyle w:val="CoPNumberlevel1"/>
      </w:pPr>
      <w:r>
        <w:t xml:space="preserve">The balance of </w:t>
      </w:r>
      <w:r w:rsidR="00696AD5">
        <w:t>the fee</w:t>
      </w:r>
      <w:r>
        <w:t xml:space="preserve"> is payable one week before the start of the </w:t>
      </w:r>
      <w:r w:rsidR="00EC181C">
        <w:t xml:space="preserve">programme. </w:t>
      </w:r>
      <w:r w:rsidR="00C2279A">
        <w:t xml:space="preserve">The amount of any scholarship awarded by LSTM will be deducted from the amount due. </w:t>
      </w:r>
      <w:r>
        <w:t>A</w:t>
      </w:r>
      <w:r w:rsidR="005C384A">
        <w:t xml:space="preserve"> </w:t>
      </w:r>
      <w:r>
        <w:t xml:space="preserve">student who fails to pay the balance before registration will not be permitted to start the programme.  Access and ID cards will not </w:t>
      </w:r>
      <w:r w:rsidR="00696AD5">
        <w:t xml:space="preserve">normally </w:t>
      </w:r>
      <w:r>
        <w:t>be issued until fees have been paid in full.  The following exceptions will apply:</w:t>
      </w:r>
    </w:p>
    <w:p w:rsidR="008612B8" w:rsidRPr="008612B8" w:rsidRDefault="008612B8" w:rsidP="008612B8">
      <w:pPr>
        <w:pStyle w:val="CoPNumberlevel2"/>
      </w:pPr>
      <w:r>
        <w:t>If a student</w:t>
      </w:r>
      <w:r w:rsidRPr="008612B8">
        <w:t xml:space="preserve"> is funded by a </w:t>
      </w:r>
      <w:r w:rsidR="004A1F35">
        <w:t xml:space="preserve">postgraduate student loan or </w:t>
      </w:r>
      <w:r w:rsidRPr="008612B8">
        <w:t xml:space="preserve">career development loan, instalment payments will be accepted provided that a letter from the </w:t>
      </w:r>
      <w:r w:rsidR="003962F0">
        <w:t>loan provider</w:t>
      </w:r>
      <w:r w:rsidRPr="008612B8">
        <w:t xml:space="preserve"> is provided at registration confirming</w:t>
      </w:r>
      <w:r w:rsidR="005C384A">
        <w:t xml:space="preserve"> when payments will be received.</w:t>
      </w:r>
    </w:p>
    <w:p w:rsidR="008612B8" w:rsidRDefault="008612B8" w:rsidP="008612B8">
      <w:pPr>
        <w:pStyle w:val="CoPNumberlevel2"/>
      </w:pPr>
      <w:r w:rsidRPr="008612B8">
        <w:t xml:space="preserve">In the case of sponsored students, the </w:t>
      </w:r>
      <w:r w:rsidR="00696AD5">
        <w:t>deposit m</w:t>
      </w:r>
      <w:r w:rsidRPr="008612B8">
        <w:t>ust be paid by the sponso</w:t>
      </w:r>
      <w:r>
        <w:t>r 12 weeks before t</w:t>
      </w:r>
      <w:r w:rsidR="005C384A">
        <w:t xml:space="preserve">he start date of the programme </w:t>
      </w:r>
      <w:r>
        <w:t xml:space="preserve">and a sponsor letter will be required by the Finance Office to confirm that </w:t>
      </w:r>
      <w:r w:rsidR="00696AD5">
        <w:t xml:space="preserve">the </w:t>
      </w:r>
      <w:r>
        <w:t>fees will be paid upon receipt of the invoice.</w:t>
      </w:r>
      <w:r w:rsidRPr="0013264E">
        <w:t xml:space="preserve"> </w:t>
      </w:r>
      <w:r>
        <w:t xml:space="preserve">If a sponsor withdraws support or fails to pay </w:t>
      </w:r>
      <w:r w:rsidR="00696AD5">
        <w:t xml:space="preserve">the </w:t>
      </w:r>
      <w:r>
        <w:t>fees, the debt automatically becomes th</w:t>
      </w:r>
      <w:r w:rsidR="005C384A">
        <w:t>e responsibility of the student.</w:t>
      </w:r>
    </w:p>
    <w:p w:rsidR="00F05129" w:rsidRPr="0098007F" w:rsidRDefault="00F05129" w:rsidP="00F05129">
      <w:pPr>
        <w:pStyle w:val="CoPNumberlevel1"/>
      </w:pPr>
      <w:r w:rsidRPr="0098007F">
        <w:t>Students/sponsors will be invoiced for any shortfall in fees caused by bank charges/foreign currency transactions.</w:t>
      </w:r>
    </w:p>
    <w:p w:rsidR="008612B8" w:rsidRDefault="008612B8" w:rsidP="008612B8">
      <w:pPr>
        <w:pStyle w:val="CoPNumberlevel1"/>
      </w:pPr>
      <w:r>
        <w:t xml:space="preserve">The following rules </w:t>
      </w:r>
      <w:r w:rsidR="00696AD5">
        <w:t xml:space="preserve">will </w:t>
      </w:r>
      <w:r>
        <w:t>apply for the calculation of refunds</w:t>
      </w:r>
      <w:r w:rsidR="00696AD5">
        <w:t>:</w:t>
      </w:r>
    </w:p>
    <w:p w:rsidR="008612B8" w:rsidRDefault="00391BEC" w:rsidP="008612B8">
      <w:pPr>
        <w:pStyle w:val="CoPNumberlevel2"/>
      </w:pPr>
      <w:r>
        <w:t>A</w:t>
      </w:r>
      <w:r w:rsidR="008612B8">
        <w:t xml:space="preserve"> student </w:t>
      </w:r>
      <w:r>
        <w:t xml:space="preserve">who </w:t>
      </w:r>
      <w:r w:rsidR="008612B8">
        <w:t xml:space="preserve">leaves </w:t>
      </w:r>
      <w:r>
        <w:t xml:space="preserve">the </w:t>
      </w:r>
      <w:r w:rsidR="008612B8">
        <w:t>programme within the first week of teaching in Semester 1</w:t>
      </w:r>
      <w:r>
        <w:t xml:space="preserve"> </w:t>
      </w:r>
      <w:r w:rsidR="008612B8">
        <w:t xml:space="preserve">will be entitled to a refund of fees </w:t>
      </w:r>
      <w:r>
        <w:t xml:space="preserve">minus </w:t>
      </w:r>
      <w:r w:rsidR="008612B8">
        <w:t>the</w:t>
      </w:r>
      <w:r w:rsidR="005C384A">
        <w:t xml:space="preserve"> deposit.</w:t>
      </w:r>
      <w:r>
        <w:t xml:space="preserve"> </w:t>
      </w:r>
    </w:p>
    <w:p w:rsidR="008612B8" w:rsidRDefault="00391BEC" w:rsidP="008612B8">
      <w:pPr>
        <w:pStyle w:val="CoPNumberlevel2"/>
      </w:pPr>
      <w:r>
        <w:t>A s</w:t>
      </w:r>
      <w:r w:rsidR="008612B8">
        <w:t xml:space="preserve">tudent </w:t>
      </w:r>
      <w:r>
        <w:t xml:space="preserve">who </w:t>
      </w:r>
      <w:r w:rsidR="008612B8">
        <w:t xml:space="preserve">leaves after the first week of teaching </w:t>
      </w:r>
      <w:r>
        <w:t xml:space="preserve">but before the commencement of </w:t>
      </w:r>
      <w:r w:rsidR="008612B8">
        <w:t>Semester</w:t>
      </w:r>
      <w:r>
        <w:t xml:space="preserve"> 2 </w:t>
      </w:r>
      <w:r w:rsidR="008612B8">
        <w:t xml:space="preserve">will be charged the fee </w:t>
      </w:r>
      <w:r>
        <w:t xml:space="preserve">for </w:t>
      </w:r>
      <w:r w:rsidR="008612B8">
        <w:t>a Postgraduate Certificate and the balance will be refunded</w:t>
      </w:r>
      <w:r>
        <w:t xml:space="preserve"> minus an administrative charge</w:t>
      </w:r>
      <w:r w:rsidR="005C384A">
        <w:t>.</w:t>
      </w:r>
    </w:p>
    <w:p w:rsidR="008612B8" w:rsidRDefault="00391BEC" w:rsidP="008612B8">
      <w:pPr>
        <w:pStyle w:val="CoPNumberlevel2"/>
      </w:pPr>
      <w:r>
        <w:lastRenderedPageBreak/>
        <w:t xml:space="preserve">A </w:t>
      </w:r>
      <w:r w:rsidR="008612B8">
        <w:t xml:space="preserve">student </w:t>
      </w:r>
      <w:r>
        <w:t xml:space="preserve">who </w:t>
      </w:r>
      <w:r w:rsidR="008612B8">
        <w:t>leaves at any time during Semester 2</w:t>
      </w:r>
      <w:r>
        <w:t xml:space="preserve"> </w:t>
      </w:r>
      <w:r w:rsidR="008612B8">
        <w:t xml:space="preserve">will be charged the fee </w:t>
      </w:r>
      <w:r>
        <w:t xml:space="preserve">for </w:t>
      </w:r>
      <w:r w:rsidR="008612B8">
        <w:t>a Postgraduate Diploma and the balance</w:t>
      </w:r>
      <w:r>
        <w:t xml:space="preserve"> </w:t>
      </w:r>
      <w:r w:rsidR="008612B8">
        <w:t>will be refunded</w:t>
      </w:r>
      <w:r w:rsidR="00642187">
        <w:t xml:space="preserve"> minus an </w:t>
      </w:r>
      <w:r w:rsidR="008612B8">
        <w:t>administrati</w:t>
      </w:r>
      <w:r>
        <w:t xml:space="preserve">ve </w:t>
      </w:r>
      <w:r w:rsidR="008612B8">
        <w:t>charge</w:t>
      </w:r>
      <w:r w:rsidR="005C384A">
        <w:t>.</w:t>
      </w:r>
    </w:p>
    <w:p w:rsidR="008612B8" w:rsidRDefault="00391BEC" w:rsidP="008612B8">
      <w:pPr>
        <w:pStyle w:val="CoPNumberlevel2"/>
      </w:pPr>
      <w:r>
        <w:t>A</w:t>
      </w:r>
      <w:r w:rsidR="008612B8">
        <w:t xml:space="preserve"> student </w:t>
      </w:r>
      <w:r>
        <w:t xml:space="preserve">who </w:t>
      </w:r>
      <w:r w:rsidR="008612B8">
        <w:t>leaves at any time during Semester 3</w:t>
      </w:r>
      <w:r>
        <w:t xml:space="preserve"> will</w:t>
      </w:r>
      <w:r w:rsidR="005C384A">
        <w:t xml:space="preserve"> not be entitled to any refund.</w:t>
      </w:r>
    </w:p>
    <w:p w:rsidR="008612B8" w:rsidRDefault="00642187" w:rsidP="008612B8">
      <w:pPr>
        <w:pStyle w:val="CoPNumberlevel2"/>
      </w:pPr>
      <w:r>
        <w:t xml:space="preserve">A student </w:t>
      </w:r>
      <w:r w:rsidR="008612B8">
        <w:t xml:space="preserve">will </w:t>
      </w:r>
      <w:r>
        <w:t xml:space="preserve">not </w:t>
      </w:r>
      <w:r w:rsidR="008612B8">
        <w:t xml:space="preserve">be given </w:t>
      </w:r>
      <w:r>
        <w:t xml:space="preserve">a refund </w:t>
      </w:r>
      <w:r w:rsidR="008612B8">
        <w:t xml:space="preserve">for any part of the programme </w:t>
      </w:r>
      <w:r>
        <w:t xml:space="preserve">that </w:t>
      </w:r>
      <w:r w:rsidR="008612B8">
        <w:t>has been attempted but where the student has failed to meet the required standard for awardin</w:t>
      </w:r>
      <w:r>
        <w:t>g the qualification or credits</w:t>
      </w:r>
      <w:r w:rsidR="00C2279A">
        <w:t>.</w:t>
      </w:r>
    </w:p>
    <w:p w:rsidR="008612B8" w:rsidRDefault="00642187" w:rsidP="001F213F">
      <w:pPr>
        <w:pStyle w:val="CoPNumberlevel1"/>
      </w:pPr>
      <w:r>
        <w:t xml:space="preserve">The research support </w:t>
      </w:r>
      <w:r w:rsidR="005C384A">
        <w:t xml:space="preserve">fee </w:t>
      </w:r>
      <w:r>
        <w:t xml:space="preserve">for an overseas project (if applicable) </w:t>
      </w:r>
      <w:r w:rsidR="008612B8">
        <w:t xml:space="preserve">is payable with the balance of tuition fees one week before the start of the programme. </w:t>
      </w:r>
      <w:r>
        <w:t>If a</w:t>
      </w:r>
      <w:r w:rsidR="008612B8">
        <w:t xml:space="preserve"> student </w:t>
      </w:r>
      <w:r>
        <w:t xml:space="preserve">transfers </w:t>
      </w:r>
      <w:r w:rsidR="008612B8">
        <w:t xml:space="preserve">subsequently </w:t>
      </w:r>
      <w:r>
        <w:t xml:space="preserve">to a project that does not involve overseas travel, </w:t>
      </w:r>
      <w:r w:rsidR="008612B8">
        <w:t xml:space="preserve">the research support fee will be refunded in full. </w:t>
      </w:r>
    </w:p>
    <w:p w:rsidR="008612B8" w:rsidRDefault="008612B8" w:rsidP="008612B8">
      <w:pPr>
        <w:pStyle w:val="CoPborderheading"/>
        <w:rPr>
          <w:rFonts w:hint="eastAsia"/>
        </w:rPr>
      </w:pPr>
      <w:bookmarkStart w:id="8" w:name="_Toc321815087"/>
      <w:bookmarkStart w:id="9" w:name="_Toc410640257"/>
      <w:r>
        <w:t>Professional Diploma</w:t>
      </w:r>
      <w:r w:rsidR="007A58D9">
        <w:t>s</w:t>
      </w:r>
      <w:r>
        <w:t xml:space="preserve"> and Short Courses</w:t>
      </w:r>
      <w:bookmarkEnd w:id="8"/>
      <w:bookmarkEnd w:id="9"/>
    </w:p>
    <w:p w:rsidR="00F05129" w:rsidRDefault="008612B8" w:rsidP="001F213F">
      <w:pPr>
        <w:pStyle w:val="CoPNumberlevel1"/>
      </w:pPr>
      <w:r>
        <w:t>Full fees are payable before the start of the programme</w:t>
      </w:r>
      <w:r w:rsidR="007A58D9">
        <w:t xml:space="preserve"> in accordance with deadlines published on the </w:t>
      </w:r>
      <w:r>
        <w:t>LSTM website</w:t>
      </w:r>
      <w:r w:rsidR="007A58D9">
        <w:t>.</w:t>
      </w:r>
      <w:r w:rsidR="00C2279A">
        <w:t xml:space="preserve">  The amount of any scholarship awarded by LSTM will be deducted from the amount due.</w:t>
      </w:r>
    </w:p>
    <w:p w:rsidR="007A58D9" w:rsidRPr="0098007F" w:rsidRDefault="00F05129" w:rsidP="001F213F">
      <w:pPr>
        <w:pStyle w:val="CoPNumberlevel1"/>
      </w:pPr>
      <w:r w:rsidRPr="0098007F">
        <w:t>Students/sponsors will be invoiced for any shortfall in fees caused by bank charges/foreign currency transactions.</w:t>
      </w:r>
    </w:p>
    <w:p w:rsidR="008612B8" w:rsidRDefault="008612B8" w:rsidP="001F213F">
      <w:pPr>
        <w:pStyle w:val="CoPNumberlevel1"/>
      </w:pPr>
      <w:r>
        <w:t>Fees are non-refundable except in the case of visa refusal</w:t>
      </w:r>
      <w:r w:rsidR="00832185">
        <w:t xml:space="preserve"> (see 5.1)</w:t>
      </w:r>
      <w:r w:rsidR="007A58D9">
        <w:t xml:space="preserve">.  </w:t>
      </w:r>
      <w:r w:rsidR="00916B3E">
        <w:t>However, a</w:t>
      </w:r>
      <w:r w:rsidR="007A58D9">
        <w:t xml:space="preserve"> st</w:t>
      </w:r>
      <w:r>
        <w:t>udent</w:t>
      </w:r>
      <w:r w:rsidR="007A58D9">
        <w:t xml:space="preserve"> </w:t>
      </w:r>
      <w:r w:rsidR="00916B3E">
        <w:t>will be permitted to</w:t>
      </w:r>
      <w:r w:rsidR="007A58D9">
        <w:t xml:space="preserve"> </w:t>
      </w:r>
      <w:r>
        <w:t xml:space="preserve">defer entry and carry payment forward </w:t>
      </w:r>
      <w:r w:rsidR="007A58D9">
        <w:t xml:space="preserve">provided the request is made before the payment deadline.  Requests for deferral made after the payment deadline will be granted only if the </w:t>
      </w:r>
      <w:r>
        <w:t>place can be filled</w:t>
      </w:r>
      <w:r w:rsidR="005C384A">
        <w:t xml:space="preserve"> by another applicant</w:t>
      </w:r>
      <w:r w:rsidR="007A58D9">
        <w:t xml:space="preserve">. </w:t>
      </w:r>
      <w:r>
        <w:t xml:space="preserve">Fees </w:t>
      </w:r>
      <w:r w:rsidR="007A58D9">
        <w:t xml:space="preserve">can </w:t>
      </w:r>
      <w:r>
        <w:t xml:space="preserve">be carried forward for a maximum of one year.  </w:t>
      </w:r>
    </w:p>
    <w:p w:rsidR="008612B8" w:rsidRDefault="008612B8" w:rsidP="001F213F">
      <w:pPr>
        <w:pStyle w:val="CoPNumberlevel1"/>
      </w:pPr>
      <w:r>
        <w:t xml:space="preserve">If, in exceptional circumstances, a student is unable to complete the programme, fees will not be refunded but the student will be offered the chance to complete the missing components on the next available programme at no additional cost.    </w:t>
      </w:r>
    </w:p>
    <w:p w:rsidR="008612B8" w:rsidRPr="003D78F8" w:rsidRDefault="008612B8" w:rsidP="008612B8">
      <w:pPr>
        <w:pStyle w:val="CoPborderheading"/>
        <w:rPr>
          <w:rFonts w:hint="eastAsia"/>
        </w:rPr>
      </w:pPr>
      <w:bookmarkStart w:id="10" w:name="_Toc321815091"/>
      <w:bookmarkStart w:id="11" w:name="_Toc410640258"/>
      <w:r>
        <w:t>Research</w:t>
      </w:r>
      <w:bookmarkEnd w:id="10"/>
      <w:r>
        <w:t xml:space="preserve"> Programmes</w:t>
      </w:r>
      <w:bookmarkEnd w:id="11"/>
    </w:p>
    <w:p w:rsidR="00F05129" w:rsidRDefault="009E20A7" w:rsidP="00BE1727">
      <w:pPr>
        <w:pStyle w:val="CoPNumberlevel1"/>
      </w:pPr>
      <w:r w:rsidRPr="009E20A7">
        <w:t>Students will be registered from the 1st day of the month in which they commence their studies.</w:t>
      </w:r>
      <w:r>
        <w:t xml:space="preserve">  </w:t>
      </w:r>
      <w:r w:rsidR="00BE1727">
        <w:t xml:space="preserve">Fees will be charged on a pro-rata basis for students commencing their first year of study after 1 October.  </w:t>
      </w:r>
    </w:p>
    <w:p w:rsidR="00BE1727" w:rsidRPr="0098007F" w:rsidRDefault="00F05129" w:rsidP="00BE1727">
      <w:pPr>
        <w:pStyle w:val="CoPNumberlevel1"/>
      </w:pPr>
      <w:r w:rsidRPr="0098007F">
        <w:t>Invoices are normally issued to returning students during the months of October and November.</w:t>
      </w:r>
      <w:r w:rsidR="00BE1727" w:rsidRPr="0098007F">
        <w:t xml:space="preserve"> </w:t>
      </w:r>
    </w:p>
    <w:p w:rsidR="008612B8" w:rsidRDefault="00622437" w:rsidP="008612B8">
      <w:pPr>
        <w:pStyle w:val="CoPNumberlevel1"/>
      </w:pPr>
      <w:r>
        <w:t>S</w:t>
      </w:r>
      <w:r w:rsidR="008612B8">
        <w:t>tudents who are self-funding must complete a fees agreement letter</w:t>
      </w:r>
      <w:r w:rsidR="009B5E74">
        <w:t xml:space="preserve"> </w:t>
      </w:r>
      <w:r w:rsidR="008612B8">
        <w:t xml:space="preserve">and </w:t>
      </w:r>
      <w:r w:rsidR="009B5E74">
        <w:t xml:space="preserve">pay </w:t>
      </w:r>
      <w:r w:rsidR="008612B8">
        <w:t xml:space="preserve">their tuition fees within </w:t>
      </w:r>
      <w:r>
        <w:t xml:space="preserve">one month </w:t>
      </w:r>
      <w:r w:rsidR="008612B8">
        <w:t xml:space="preserve">of the </w:t>
      </w:r>
      <w:r>
        <w:t xml:space="preserve">date of the </w:t>
      </w:r>
      <w:r w:rsidR="008612B8">
        <w:t>invoice</w:t>
      </w:r>
      <w:r>
        <w:t>. I</w:t>
      </w:r>
      <w:r w:rsidR="008612B8">
        <w:t xml:space="preserve">f an instalment plan has been </w:t>
      </w:r>
      <w:r w:rsidR="008612B8">
        <w:lastRenderedPageBreak/>
        <w:t xml:space="preserve">agreed, </w:t>
      </w:r>
      <w:r>
        <w:t xml:space="preserve">fees must have been paid in full </w:t>
      </w:r>
      <w:r w:rsidR="008612B8">
        <w:t xml:space="preserve">by the end of July.  Students who have not </w:t>
      </w:r>
      <w:r w:rsidR="009B5E74">
        <w:t xml:space="preserve">paid </w:t>
      </w:r>
      <w:r w:rsidR="008612B8">
        <w:t>their fees before 1</w:t>
      </w:r>
      <w:r w:rsidR="009B5E74">
        <w:t xml:space="preserve"> August w</w:t>
      </w:r>
      <w:r w:rsidR="008612B8">
        <w:t xml:space="preserve">ill not be permitted to register for the next academic year. </w:t>
      </w:r>
    </w:p>
    <w:p w:rsidR="00622437" w:rsidRDefault="00622437" w:rsidP="008612B8">
      <w:pPr>
        <w:pStyle w:val="CoPNumberlevel1"/>
      </w:pPr>
      <w:r>
        <w:t xml:space="preserve">For students who are sponsored, the sponsor must provide a letter agreeing to pay the fees and will be invoiced accordingly.  Payment is expected within one month of </w:t>
      </w:r>
      <w:r w:rsidR="005C384A">
        <w:t xml:space="preserve">the date of the invoice. </w:t>
      </w:r>
      <w:r>
        <w:t xml:space="preserve">If the sponsor withdraws support or fails to pay fees, </w:t>
      </w:r>
      <w:r w:rsidR="005C384A">
        <w:t>t</w:t>
      </w:r>
      <w:r>
        <w:t>he debt automatically becomes the responsibility of the student.</w:t>
      </w:r>
    </w:p>
    <w:p w:rsidR="008612B8" w:rsidRDefault="009E20A7" w:rsidP="008612B8">
      <w:pPr>
        <w:pStyle w:val="CoPNumberlevel1"/>
      </w:pPr>
      <w:r>
        <w:t xml:space="preserve">A student who </w:t>
      </w:r>
      <w:r w:rsidR="008612B8">
        <w:t>leave</w:t>
      </w:r>
      <w:r>
        <w:t>s</w:t>
      </w:r>
      <w:r w:rsidR="008612B8">
        <w:t xml:space="preserve"> within the first </w:t>
      </w:r>
      <w:r w:rsidR="005C384A">
        <w:t xml:space="preserve">calendar month </w:t>
      </w:r>
      <w:r w:rsidR="008612B8">
        <w:t>of registration</w:t>
      </w:r>
      <w:r>
        <w:t xml:space="preserve"> will be entitled to a full refund of any fees paid.  A </w:t>
      </w:r>
      <w:r w:rsidR="008612B8">
        <w:t xml:space="preserve">student </w:t>
      </w:r>
      <w:r>
        <w:t xml:space="preserve">who </w:t>
      </w:r>
      <w:r w:rsidR="00695844">
        <w:t xml:space="preserve">withdraws formally from </w:t>
      </w:r>
      <w:r w:rsidR="008612B8">
        <w:t>the programme</w:t>
      </w:r>
      <w:r>
        <w:t xml:space="preserve"> </w:t>
      </w:r>
      <w:r w:rsidR="005C384A">
        <w:t xml:space="preserve">after the first month </w:t>
      </w:r>
      <w:r>
        <w:t xml:space="preserve">will be entitled to a refund of </w:t>
      </w:r>
      <w:r w:rsidR="00695844">
        <w:t xml:space="preserve">any whole months’ </w:t>
      </w:r>
      <w:r>
        <w:t>fee</w:t>
      </w:r>
      <w:r w:rsidR="00695844">
        <w:t xml:space="preserve">s paid in advance </w:t>
      </w:r>
      <w:r>
        <w:t>minus an administrati</w:t>
      </w:r>
      <w:r w:rsidR="00695844">
        <w:t xml:space="preserve">ve </w:t>
      </w:r>
      <w:r>
        <w:t>charge</w:t>
      </w:r>
      <w:r w:rsidR="00695844">
        <w:t xml:space="preserve">.  </w:t>
      </w:r>
    </w:p>
    <w:p w:rsidR="004F6EFB" w:rsidRDefault="004F6EFB" w:rsidP="008612B8">
      <w:pPr>
        <w:pStyle w:val="CoPNumberlevel1"/>
      </w:pPr>
      <w:r>
        <w:t>Applications to pay by instalments will be considered on a case by case basis.</w:t>
      </w:r>
    </w:p>
    <w:p w:rsidR="008612B8" w:rsidRDefault="001B13BD" w:rsidP="004F6EFB">
      <w:pPr>
        <w:pStyle w:val="CoPNumberlevel1"/>
      </w:pPr>
      <w:r>
        <w:t>A c</w:t>
      </w:r>
      <w:r w:rsidR="008612B8">
        <w:t>hange</w:t>
      </w:r>
      <w:r>
        <w:t xml:space="preserve"> in </w:t>
      </w:r>
      <w:r w:rsidR="008612B8">
        <w:t>registration status to ‘submission pending’</w:t>
      </w:r>
      <w:r w:rsidR="00C21CDD">
        <w:t xml:space="preserve"> must </w:t>
      </w:r>
      <w:r>
        <w:t xml:space="preserve">be made on the </w:t>
      </w:r>
      <w:r w:rsidR="00C21CDD">
        <w:t>1</w:t>
      </w:r>
      <w:r w:rsidR="00C21CDD" w:rsidRPr="009425B9">
        <w:rPr>
          <w:vertAlign w:val="superscript"/>
        </w:rPr>
        <w:t>st</w:t>
      </w:r>
      <w:r w:rsidR="00C21CDD">
        <w:t xml:space="preserve"> day of the month</w:t>
      </w:r>
      <w:r>
        <w:t xml:space="preserve">.  </w:t>
      </w:r>
      <w:r w:rsidR="009425B9">
        <w:t xml:space="preserve">A reduced fee will be charged on a pro rata basis up to </w:t>
      </w:r>
      <w:r w:rsidR="008612B8" w:rsidRPr="008612B8">
        <w:t>the end of the maximum registration period</w:t>
      </w:r>
      <w:r w:rsidR="009425B9">
        <w:t xml:space="preserve">.   </w:t>
      </w:r>
    </w:p>
    <w:p w:rsidR="008612B8" w:rsidRDefault="008612B8" w:rsidP="008612B8">
      <w:pPr>
        <w:pStyle w:val="CoPNumberlevel1"/>
      </w:pPr>
      <w:r>
        <w:t xml:space="preserve">Tuition fees charged to research students who have an overseas fee status remain the same for the duration of the programme. Tuition fees </w:t>
      </w:r>
      <w:r w:rsidR="00C2279A">
        <w:t xml:space="preserve">for </w:t>
      </w:r>
      <w:r>
        <w:t>students who have a Home/EU fee status are liable to a yearly increase.</w:t>
      </w:r>
    </w:p>
    <w:p w:rsidR="001154CC" w:rsidRDefault="001154CC" w:rsidP="009425B9">
      <w:pPr>
        <w:pStyle w:val="CoPNumberlevel1"/>
      </w:pPr>
      <w:r>
        <w:t xml:space="preserve">For LSTM staff </w:t>
      </w:r>
      <w:r w:rsidRPr="001154CC">
        <w:t>wish</w:t>
      </w:r>
      <w:r>
        <w:t>ing</w:t>
      </w:r>
      <w:r w:rsidRPr="001154CC">
        <w:t xml:space="preserve"> to register for a research programme</w:t>
      </w:r>
      <w:r>
        <w:t xml:space="preserve">, the </w:t>
      </w:r>
      <w:r w:rsidR="00C2279A" w:rsidRPr="00C2279A">
        <w:rPr>
          <w:i/>
        </w:rPr>
        <w:t xml:space="preserve">Procedure </w:t>
      </w:r>
      <w:r w:rsidR="00C546F4" w:rsidRPr="00C2279A">
        <w:rPr>
          <w:i/>
        </w:rPr>
        <w:t>for</w:t>
      </w:r>
      <w:r w:rsidR="00CA37AD">
        <w:rPr>
          <w:i/>
        </w:rPr>
        <w:t xml:space="preserve"> S</w:t>
      </w:r>
      <w:r w:rsidRPr="00C546F4">
        <w:rPr>
          <w:i/>
        </w:rPr>
        <w:t xml:space="preserve">taff </w:t>
      </w:r>
      <w:r w:rsidR="00CA37AD">
        <w:rPr>
          <w:i/>
        </w:rPr>
        <w:t>U</w:t>
      </w:r>
      <w:r w:rsidR="00C546F4">
        <w:rPr>
          <w:i/>
        </w:rPr>
        <w:t xml:space="preserve">ndertaking </w:t>
      </w:r>
      <w:r w:rsidR="00CA37AD">
        <w:rPr>
          <w:i/>
        </w:rPr>
        <w:t>LSTM Education P</w:t>
      </w:r>
      <w:r w:rsidR="00C546F4" w:rsidRPr="00C546F4">
        <w:rPr>
          <w:i/>
        </w:rPr>
        <w:t>rogrammes</w:t>
      </w:r>
      <w:r w:rsidR="00C546F4">
        <w:t xml:space="preserve"> will apply. </w:t>
      </w:r>
    </w:p>
    <w:p w:rsidR="008612B8" w:rsidRDefault="008612B8" w:rsidP="008612B8">
      <w:pPr>
        <w:pStyle w:val="CoPborderheading"/>
        <w:rPr>
          <w:rFonts w:hint="eastAsia"/>
        </w:rPr>
      </w:pPr>
      <w:bookmarkStart w:id="12" w:name="_Toc321815092"/>
      <w:bookmarkStart w:id="13" w:name="_Toc410640259"/>
      <w:r>
        <w:t>Debtors</w:t>
      </w:r>
      <w:bookmarkEnd w:id="12"/>
      <w:bookmarkEnd w:id="13"/>
    </w:p>
    <w:p w:rsidR="008612B8" w:rsidRDefault="00BB188B" w:rsidP="00BB188B">
      <w:pPr>
        <w:pStyle w:val="CoPNumberlevel1"/>
      </w:pPr>
      <w:r>
        <w:t xml:space="preserve">A </w:t>
      </w:r>
      <w:r w:rsidR="008612B8">
        <w:t xml:space="preserve">student </w:t>
      </w:r>
      <w:r>
        <w:t xml:space="preserve">who </w:t>
      </w:r>
      <w:r w:rsidR="008612B8">
        <w:t>defaults on any payment arrangement that has been made</w:t>
      </w:r>
      <w:r>
        <w:t xml:space="preserve"> will be denied </w:t>
      </w:r>
      <w:r w:rsidR="008612B8">
        <w:t xml:space="preserve">access to LSTM buildings </w:t>
      </w:r>
      <w:r>
        <w:t>u</w:t>
      </w:r>
      <w:r w:rsidR="008612B8">
        <w:t xml:space="preserve">ntil the </w:t>
      </w:r>
      <w:r>
        <w:t xml:space="preserve">debt </w:t>
      </w:r>
      <w:r w:rsidR="008612B8">
        <w:t xml:space="preserve">is </w:t>
      </w:r>
      <w:r>
        <w:t xml:space="preserve">paid.  If the debt has not been paid within 30 </w:t>
      </w:r>
      <w:r w:rsidR="008612B8">
        <w:t>days</w:t>
      </w:r>
      <w:r>
        <w:t>, the student</w:t>
      </w:r>
      <w:r w:rsidR="008612B8">
        <w:t xml:space="preserve"> </w:t>
      </w:r>
      <w:r>
        <w:t xml:space="preserve">will be </w:t>
      </w:r>
      <w:r w:rsidR="008612B8">
        <w:t>placed on financial suspension</w:t>
      </w:r>
      <w:r>
        <w:t xml:space="preserve"> and access to computing services will also be withdrawn.  The student </w:t>
      </w:r>
      <w:r w:rsidR="008612B8">
        <w:t>will be asked to meet with the D</w:t>
      </w:r>
      <w:r w:rsidR="00A9457B">
        <w:t>ean</w:t>
      </w:r>
      <w:r w:rsidR="008612B8">
        <w:t xml:space="preserve"> of Education to discuss </w:t>
      </w:r>
      <w:r>
        <w:t xml:space="preserve">his/her </w:t>
      </w:r>
      <w:r w:rsidR="008612B8">
        <w:t xml:space="preserve">academic standing with </w:t>
      </w:r>
      <w:r w:rsidR="00C2279A">
        <w:t>LSTM</w:t>
      </w:r>
      <w:r w:rsidR="008612B8">
        <w:t>.</w:t>
      </w:r>
    </w:p>
    <w:p w:rsidR="008612B8" w:rsidRDefault="00BB188B" w:rsidP="008612B8">
      <w:pPr>
        <w:pStyle w:val="CoPNumberlevel1"/>
      </w:pPr>
      <w:r>
        <w:t>A s</w:t>
      </w:r>
      <w:r w:rsidR="008612B8">
        <w:t>tudent</w:t>
      </w:r>
      <w:r>
        <w:t xml:space="preserve"> </w:t>
      </w:r>
      <w:r w:rsidR="008612B8">
        <w:t>who ha</w:t>
      </w:r>
      <w:r>
        <w:t xml:space="preserve">s </w:t>
      </w:r>
      <w:r w:rsidR="008612B8">
        <w:t xml:space="preserve">been placed on financial suspension will be withdrawn </w:t>
      </w:r>
      <w:r>
        <w:t xml:space="preserve">from the programme </w:t>
      </w:r>
      <w:r w:rsidR="008612B8">
        <w:t>after six months</w:t>
      </w:r>
      <w:r>
        <w:t xml:space="preserve"> with no </w:t>
      </w:r>
      <w:r w:rsidR="008612B8">
        <w:t>right of appeal.</w:t>
      </w:r>
    </w:p>
    <w:p w:rsidR="008612B8" w:rsidRDefault="008612B8" w:rsidP="00084C0E">
      <w:pPr>
        <w:pStyle w:val="CoPNumberlevel1"/>
      </w:pPr>
      <w:r>
        <w:t>Students in debt to LSTM</w:t>
      </w:r>
      <w:r w:rsidR="00084C0E">
        <w:t xml:space="preserve"> will not be </w:t>
      </w:r>
      <w:r>
        <w:t>notified of th</w:t>
      </w:r>
      <w:r w:rsidRPr="008612B8">
        <w:t>e marks of any completed assessments</w:t>
      </w:r>
      <w:r w:rsidR="00084C0E">
        <w:t xml:space="preserve">; </w:t>
      </w:r>
      <w:r w:rsidRPr="008612B8">
        <w:t>permitted to register for a new session of study</w:t>
      </w:r>
      <w:r w:rsidR="00084C0E">
        <w:t xml:space="preserve">; or </w:t>
      </w:r>
      <w:r w:rsidRPr="008612B8">
        <w:t xml:space="preserve">allowed to </w:t>
      </w:r>
      <w:r>
        <w:t xml:space="preserve">receive an award until all </w:t>
      </w:r>
      <w:r w:rsidR="00084C0E">
        <w:t xml:space="preserve">debts </w:t>
      </w:r>
      <w:r>
        <w:t xml:space="preserve">have been paid.  </w:t>
      </w:r>
    </w:p>
    <w:p w:rsidR="008612B8" w:rsidRDefault="008612B8" w:rsidP="008612B8">
      <w:pPr>
        <w:pStyle w:val="CoPborderheading"/>
        <w:rPr>
          <w:rFonts w:hint="eastAsia"/>
        </w:rPr>
      </w:pPr>
      <w:bookmarkStart w:id="14" w:name="_Toc321815093"/>
      <w:bookmarkStart w:id="15" w:name="_Toc410640260"/>
      <w:r>
        <w:lastRenderedPageBreak/>
        <w:t>Changes to Programmes</w:t>
      </w:r>
      <w:bookmarkEnd w:id="14"/>
      <w:bookmarkEnd w:id="15"/>
    </w:p>
    <w:p w:rsidR="008612B8" w:rsidRDefault="008612B8" w:rsidP="001F213F">
      <w:pPr>
        <w:pStyle w:val="CoPNumberlevel1"/>
      </w:pPr>
      <w:r>
        <w:t xml:space="preserve">In the unlikely event that LSTM discontinues or makes </w:t>
      </w:r>
      <w:r w:rsidR="008B4C1B">
        <w:t xml:space="preserve">major changes to a programme </w:t>
      </w:r>
      <w:r>
        <w:t>before it begins, applicants will be entitled to a full refund of any tuition fees paid in advance.</w:t>
      </w:r>
      <w:r w:rsidRPr="0035690F">
        <w:t xml:space="preserve"> </w:t>
      </w:r>
      <w:r>
        <w:t xml:space="preserve"> </w:t>
      </w:r>
    </w:p>
    <w:p w:rsidR="008612B8" w:rsidRDefault="008B4C1B" w:rsidP="008612B8">
      <w:pPr>
        <w:pStyle w:val="CoPborderheading"/>
        <w:rPr>
          <w:rFonts w:hint="eastAsia"/>
        </w:rPr>
      </w:pPr>
      <w:bookmarkStart w:id="16" w:name="_Toc410640261"/>
      <w:r>
        <w:t xml:space="preserve">Financial Regulations Governing </w:t>
      </w:r>
      <w:r w:rsidR="008612B8">
        <w:t>Payment of Refunds</w:t>
      </w:r>
      <w:bookmarkEnd w:id="16"/>
    </w:p>
    <w:p w:rsidR="008612B8" w:rsidRDefault="008B4C1B" w:rsidP="001F213F">
      <w:pPr>
        <w:pStyle w:val="CoPNumberlevel1"/>
      </w:pPr>
      <w:r>
        <w:t>The full amount of any s</w:t>
      </w:r>
      <w:r w:rsidR="008612B8">
        <w:t xml:space="preserve">cholarship </w:t>
      </w:r>
      <w:r>
        <w:t xml:space="preserve">received </w:t>
      </w:r>
      <w:r w:rsidR="008612B8">
        <w:t>from LSTM</w:t>
      </w:r>
      <w:r>
        <w:t xml:space="preserve"> </w:t>
      </w:r>
      <w:r w:rsidR="008612B8">
        <w:t>will</w:t>
      </w:r>
      <w:r>
        <w:t xml:space="preserve"> be deducted from any refund due</w:t>
      </w:r>
      <w:r w:rsidR="008612B8">
        <w:t xml:space="preserve">. </w:t>
      </w:r>
    </w:p>
    <w:p w:rsidR="008612B8" w:rsidRDefault="008612B8" w:rsidP="009425B9">
      <w:pPr>
        <w:pStyle w:val="CoPNumberlevel1"/>
      </w:pPr>
      <w:r w:rsidRPr="00396EFF">
        <w:t xml:space="preserve">Any refund </w:t>
      </w:r>
      <w:r w:rsidR="008B4C1B">
        <w:t>du</w:t>
      </w:r>
      <w:r w:rsidRPr="00396EFF">
        <w:t>e following</w:t>
      </w:r>
      <w:r>
        <w:t xml:space="preserve"> the application of this Code of Practice </w:t>
      </w:r>
      <w:r w:rsidR="00C2279A">
        <w:t xml:space="preserve">must </w:t>
      </w:r>
      <w:r>
        <w:t>be made to the person or account from which the original payment was received.</w:t>
      </w:r>
      <w:r w:rsidR="009425B9">
        <w:t xml:space="preserve"> </w:t>
      </w:r>
    </w:p>
    <w:p w:rsidR="001D40B3" w:rsidRDefault="001D40B3" w:rsidP="009425B9">
      <w:pPr>
        <w:pStyle w:val="CoPNumberlevel1"/>
      </w:pPr>
      <w:r w:rsidRPr="0098007F">
        <w:t xml:space="preserve">If a student/sponsor is refunded their fees, any bank charges that have been incurred on receipt of payment (bank commission charges/senders charges/exchange rate fees) are to be deducted from the refund made to them – at the discretion of the </w:t>
      </w:r>
      <w:r w:rsidR="0098007F" w:rsidRPr="0098007F">
        <w:t xml:space="preserve">Education </w:t>
      </w:r>
      <w:r w:rsidRPr="0098007F">
        <w:t>department</w:t>
      </w:r>
      <w:r>
        <w:t>.</w:t>
      </w:r>
    </w:p>
    <w:p w:rsidR="00CA37AD" w:rsidRDefault="00CA37AD">
      <w:pPr>
        <w:rPr>
          <w:rFonts w:ascii="Arial" w:eastAsia="Times New Roman" w:hAnsi="Arial" w:cs="Arial"/>
          <w:color w:val="000000"/>
        </w:rPr>
      </w:pPr>
      <w:r>
        <w:br w:type="page"/>
      </w:r>
      <w:bookmarkStart w:id="17" w:name="_GoBack"/>
      <w:bookmarkEnd w:id="17"/>
    </w:p>
    <w:tbl>
      <w:tblPr>
        <w:tblW w:w="4979"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29"/>
        <w:gridCol w:w="1844"/>
        <w:gridCol w:w="5994"/>
      </w:tblGrid>
      <w:tr w:rsidR="00CA37AD" w:rsidRPr="00853D2A" w:rsidTr="00614B71">
        <w:trPr>
          <w:trHeight w:val="397"/>
        </w:trPr>
        <w:tc>
          <w:tcPr>
            <w:tcW w:w="5000" w:type="pct"/>
            <w:gridSpan w:val="3"/>
            <w:shd w:val="clear" w:color="auto" w:fill="E5B8B7" w:themeFill="accent2" w:themeFillTint="66"/>
            <w:vAlign w:val="center"/>
            <w:hideMark/>
          </w:tcPr>
          <w:p w:rsidR="00CA37AD" w:rsidRPr="00805611" w:rsidRDefault="00CA37AD" w:rsidP="00614B71">
            <w:pPr>
              <w:pStyle w:val="NoSpacing"/>
              <w:spacing w:before="120" w:after="120"/>
              <w:jc w:val="center"/>
              <w:rPr>
                <w:rFonts w:ascii="Arial" w:hAnsi="Arial" w:cs="Arial"/>
                <w:b/>
                <w:sz w:val="24"/>
                <w:szCs w:val="24"/>
              </w:rPr>
            </w:pPr>
            <w:r>
              <w:rPr>
                <w:rFonts w:ascii="Arial" w:hAnsi="Arial" w:cs="Arial"/>
                <w:b/>
                <w:sz w:val="24"/>
                <w:szCs w:val="24"/>
              </w:rPr>
              <w:lastRenderedPageBreak/>
              <w:t>Annex of Modifications</w:t>
            </w:r>
          </w:p>
        </w:tc>
      </w:tr>
      <w:tr w:rsidR="00CA37AD" w:rsidRPr="00853D2A" w:rsidTr="00614B71">
        <w:trPr>
          <w:trHeight w:val="397"/>
        </w:trPr>
        <w:tc>
          <w:tcPr>
            <w:tcW w:w="630" w:type="pct"/>
            <w:vAlign w:val="center"/>
          </w:tcPr>
          <w:p w:rsidR="00CA37AD" w:rsidRPr="00F76F9B" w:rsidRDefault="00CA37AD" w:rsidP="00614B71">
            <w:pPr>
              <w:pStyle w:val="NoSpacing"/>
              <w:spacing w:before="120" w:after="120"/>
              <w:jc w:val="center"/>
              <w:rPr>
                <w:rFonts w:ascii="Arial" w:hAnsi="Arial" w:cs="Arial"/>
                <w:b/>
              </w:rPr>
            </w:pPr>
            <w:r w:rsidRPr="00F76F9B">
              <w:rPr>
                <w:rFonts w:ascii="Arial" w:hAnsi="Arial" w:cs="Arial"/>
                <w:b/>
              </w:rPr>
              <w:t>Version</w:t>
            </w:r>
          </w:p>
        </w:tc>
        <w:tc>
          <w:tcPr>
            <w:tcW w:w="1028" w:type="pct"/>
            <w:vAlign w:val="center"/>
          </w:tcPr>
          <w:p w:rsidR="00CA37AD" w:rsidRPr="00F76F9B" w:rsidRDefault="00CA37AD" w:rsidP="00614B71">
            <w:pPr>
              <w:pStyle w:val="NoSpacing"/>
              <w:spacing w:before="120" w:after="120"/>
              <w:jc w:val="center"/>
              <w:rPr>
                <w:rFonts w:ascii="Arial" w:hAnsi="Arial" w:cs="Arial"/>
                <w:b/>
              </w:rPr>
            </w:pPr>
            <w:r w:rsidRPr="00F76F9B">
              <w:rPr>
                <w:rFonts w:ascii="Arial" w:hAnsi="Arial" w:cs="Arial"/>
                <w:b/>
              </w:rPr>
              <w:t>Date of issue</w:t>
            </w:r>
          </w:p>
        </w:tc>
        <w:tc>
          <w:tcPr>
            <w:tcW w:w="3343" w:type="pct"/>
            <w:vAlign w:val="center"/>
          </w:tcPr>
          <w:p w:rsidR="00CA37AD" w:rsidRPr="00F76F9B" w:rsidRDefault="00CA37AD" w:rsidP="00614B71">
            <w:pPr>
              <w:pStyle w:val="NoSpacing"/>
              <w:spacing w:before="120" w:after="120"/>
              <w:jc w:val="center"/>
              <w:rPr>
                <w:rFonts w:ascii="Arial" w:hAnsi="Arial" w:cs="Arial"/>
                <w:b/>
              </w:rPr>
            </w:pPr>
            <w:r w:rsidRPr="00F76F9B">
              <w:rPr>
                <w:rFonts w:ascii="Arial" w:hAnsi="Arial" w:cs="Arial"/>
                <w:b/>
              </w:rPr>
              <w:t>Details of modification from previous version</w:t>
            </w:r>
          </w:p>
        </w:tc>
      </w:tr>
      <w:tr w:rsidR="00CA37AD" w:rsidRPr="00853D2A" w:rsidTr="00614B71">
        <w:trPr>
          <w:trHeight w:val="397"/>
        </w:trPr>
        <w:tc>
          <w:tcPr>
            <w:tcW w:w="630" w:type="pct"/>
            <w:vAlign w:val="center"/>
          </w:tcPr>
          <w:p w:rsidR="00CA37AD" w:rsidRPr="00805611" w:rsidRDefault="00CA37AD" w:rsidP="00614B71">
            <w:pPr>
              <w:pStyle w:val="NoSpacing"/>
              <w:spacing w:before="120" w:after="120"/>
              <w:rPr>
                <w:rFonts w:ascii="Arial" w:hAnsi="Arial" w:cs="Arial"/>
              </w:rPr>
            </w:pPr>
            <w:r>
              <w:rPr>
                <w:rFonts w:ascii="Arial" w:hAnsi="Arial" w:cs="Arial"/>
              </w:rPr>
              <w:t>1.1</w:t>
            </w:r>
          </w:p>
        </w:tc>
        <w:tc>
          <w:tcPr>
            <w:tcW w:w="1028" w:type="pct"/>
            <w:vAlign w:val="center"/>
          </w:tcPr>
          <w:p w:rsidR="00CA37AD" w:rsidRPr="00805611" w:rsidRDefault="00CA37AD" w:rsidP="00614B71">
            <w:pPr>
              <w:pStyle w:val="NoSpacing"/>
              <w:spacing w:before="120" w:after="120"/>
              <w:rPr>
                <w:rFonts w:ascii="Arial" w:hAnsi="Arial" w:cs="Arial"/>
              </w:rPr>
            </w:pPr>
            <w:r>
              <w:rPr>
                <w:rFonts w:ascii="Arial" w:hAnsi="Arial" w:cs="Arial"/>
              </w:rPr>
              <w:t>30.01.15</w:t>
            </w:r>
          </w:p>
        </w:tc>
        <w:tc>
          <w:tcPr>
            <w:tcW w:w="3343" w:type="pct"/>
            <w:vAlign w:val="center"/>
          </w:tcPr>
          <w:p w:rsidR="00CA37AD" w:rsidRPr="00805611" w:rsidRDefault="00CA37AD" w:rsidP="00614B71">
            <w:pPr>
              <w:pStyle w:val="NoSpacing"/>
              <w:spacing w:before="120" w:after="120"/>
              <w:rPr>
                <w:rFonts w:ascii="Arial" w:hAnsi="Arial" w:cs="Arial"/>
              </w:rPr>
            </w:pPr>
            <w:r>
              <w:rPr>
                <w:rFonts w:ascii="Arial" w:hAnsi="Arial" w:cs="Arial"/>
              </w:rPr>
              <w:t>Minor edits following review by Management Committee 29.07.14</w:t>
            </w:r>
          </w:p>
        </w:tc>
      </w:tr>
      <w:tr w:rsidR="00CA37AD" w:rsidRPr="00853D2A" w:rsidTr="00614B71">
        <w:trPr>
          <w:trHeight w:val="397"/>
        </w:trPr>
        <w:tc>
          <w:tcPr>
            <w:tcW w:w="630" w:type="pct"/>
            <w:vAlign w:val="center"/>
          </w:tcPr>
          <w:p w:rsidR="00CA37AD" w:rsidRPr="00805611" w:rsidRDefault="001D40B3" w:rsidP="00614B71">
            <w:pPr>
              <w:pStyle w:val="NoSpacing"/>
              <w:spacing w:before="120" w:after="120"/>
              <w:rPr>
                <w:rFonts w:ascii="Arial" w:hAnsi="Arial" w:cs="Arial"/>
              </w:rPr>
            </w:pPr>
            <w:r>
              <w:rPr>
                <w:rFonts w:ascii="Arial" w:hAnsi="Arial" w:cs="Arial"/>
              </w:rPr>
              <w:t>1.2</w:t>
            </w:r>
          </w:p>
        </w:tc>
        <w:tc>
          <w:tcPr>
            <w:tcW w:w="1028" w:type="pct"/>
            <w:vAlign w:val="center"/>
          </w:tcPr>
          <w:p w:rsidR="00CA37AD" w:rsidRPr="00805611" w:rsidRDefault="001D40B3" w:rsidP="00614B71">
            <w:pPr>
              <w:pStyle w:val="NoSpacing"/>
              <w:spacing w:before="120" w:after="120"/>
              <w:rPr>
                <w:rFonts w:ascii="Arial" w:hAnsi="Arial" w:cs="Arial"/>
              </w:rPr>
            </w:pPr>
            <w:r>
              <w:rPr>
                <w:rFonts w:ascii="Arial" w:hAnsi="Arial" w:cs="Arial"/>
              </w:rPr>
              <w:t>15.02.16</w:t>
            </w:r>
          </w:p>
        </w:tc>
        <w:tc>
          <w:tcPr>
            <w:tcW w:w="3343" w:type="pct"/>
            <w:vAlign w:val="center"/>
          </w:tcPr>
          <w:p w:rsidR="00CA37AD" w:rsidRPr="00805611" w:rsidRDefault="001D40B3" w:rsidP="00614B71">
            <w:pPr>
              <w:pStyle w:val="NoSpacing"/>
              <w:spacing w:before="120" w:after="120"/>
              <w:rPr>
                <w:rFonts w:ascii="Arial" w:hAnsi="Arial" w:cs="Arial"/>
              </w:rPr>
            </w:pPr>
            <w:r>
              <w:rPr>
                <w:rFonts w:ascii="Arial" w:hAnsi="Arial" w:cs="Arial"/>
              </w:rPr>
              <w:t>Paragraph</w:t>
            </w:r>
            <w:r w:rsidR="00F05129">
              <w:rPr>
                <w:rFonts w:ascii="Arial" w:hAnsi="Arial" w:cs="Arial"/>
              </w:rPr>
              <w:t xml:space="preserve">s 5.4, 6.2, 7.2 and </w:t>
            </w:r>
            <w:r>
              <w:rPr>
                <w:rFonts w:ascii="Arial" w:hAnsi="Arial" w:cs="Arial"/>
              </w:rPr>
              <w:t xml:space="preserve"> 10.3 inserted following audit visit</w:t>
            </w:r>
          </w:p>
        </w:tc>
      </w:tr>
      <w:tr w:rsidR="00CA37AD" w:rsidRPr="00853D2A" w:rsidTr="00614B71">
        <w:trPr>
          <w:trHeight w:val="397"/>
        </w:trPr>
        <w:tc>
          <w:tcPr>
            <w:tcW w:w="630" w:type="pct"/>
            <w:vAlign w:val="center"/>
          </w:tcPr>
          <w:p w:rsidR="00CA37AD" w:rsidRPr="00805611" w:rsidRDefault="0001698A" w:rsidP="00614B71">
            <w:pPr>
              <w:pStyle w:val="NoSpacing"/>
              <w:spacing w:before="120" w:after="120"/>
              <w:rPr>
                <w:rFonts w:ascii="Arial" w:hAnsi="Arial" w:cs="Arial"/>
              </w:rPr>
            </w:pPr>
            <w:r>
              <w:rPr>
                <w:rFonts w:ascii="Arial" w:hAnsi="Arial" w:cs="Arial"/>
              </w:rPr>
              <w:t>2.0</w:t>
            </w:r>
          </w:p>
        </w:tc>
        <w:tc>
          <w:tcPr>
            <w:tcW w:w="1028" w:type="pct"/>
            <w:vAlign w:val="center"/>
          </w:tcPr>
          <w:p w:rsidR="00CA37AD" w:rsidRPr="00805611" w:rsidRDefault="0001698A" w:rsidP="00614B71">
            <w:pPr>
              <w:pStyle w:val="NoSpacing"/>
              <w:spacing w:before="120" w:after="120"/>
              <w:rPr>
                <w:rFonts w:ascii="Arial" w:hAnsi="Arial" w:cs="Arial"/>
              </w:rPr>
            </w:pPr>
            <w:r>
              <w:rPr>
                <w:rFonts w:ascii="Arial" w:hAnsi="Arial" w:cs="Arial"/>
              </w:rPr>
              <w:t>28.09.16</w:t>
            </w:r>
          </w:p>
        </w:tc>
        <w:tc>
          <w:tcPr>
            <w:tcW w:w="3343" w:type="pct"/>
            <w:vAlign w:val="center"/>
          </w:tcPr>
          <w:p w:rsidR="00CA37AD" w:rsidRPr="00805611" w:rsidRDefault="0001698A" w:rsidP="00614B71">
            <w:pPr>
              <w:pStyle w:val="NoSpacing"/>
              <w:spacing w:before="120" w:after="120"/>
              <w:rPr>
                <w:rFonts w:ascii="Arial" w:hAnsi="Arial" w:cs="Arial"/>
              </w:rPr>
            </w:pPr>
            <w:r>
              <w:rPr>
                <w:rFonts w:ascii="Arial" w:hAnsi="Arial" w:cs="Arial"/>
              </w:rPr>
              <w:t xml:space="preserve">Paragraph 5.1 amended to give LSTM the right to refuse refund of a deposit where visa refusal has been due to negligence </w:t>
            </w:r>
          </w:p>
        </w:tc>
      </w:tr>
      <w:tr w:rsidR="00CA37AD" w:rsidRPr="00853D2A" w:rsidTr="00614B71">
        <w:trPr>
          <w:trHeight w:val="397"/>
        </w:trPr>
        <w:tc>
          <w:tcPr>
            <w:tcW w:w="630" w:type="pct"/>
            <w:vAlign w:val="center"/>
          </w:tcPr>
          <w:p w:rsidR="00CA37AD" w:rsidRPr="00805611" w:rsidRDefault="004F6EFB" w:rsidP="00614B71">
            <w:pPr>
              <w:pStyle w:val="NoSpacing"/>
              <w:spacing w:before="120" w:after="120"/>
              <w:rPr>
                <w:rFonts w:ascii="Arial" w:hAnsi="Arial" w:cs="Arial"/>
              </w:rPr>
            </w:pPr>
            <w:r>
              <w:rPr>
                <w:rFonts w:ascii="Arial" w:hAnsi="Arial" w:cs="Arial"/>
              </w:rPr>
              <w:t>2.0</w:t>
            </w:r>
          </w:p>
        </w:tc>
        <w:tc>
          <w:tcPr>
            <w:tcW w:w="1028" w:type="pct"/>
            <w:vAlign w:val="center"/>
          </w:tcPr>
          <w:p w:rsidR="00CA37AD" w:rsidRPr="00805611" w:rsidRDefault="003F109B" w:rsidP="00614B71">
            <w:pPr>
              <w:pStyle w:val="NoSpacing"/>
              <w:spacing w:before="120" w:after="120"/>
              <w:rPr>
                <w:rFonts w:ascii="Arial" w:hAnsi="Arial" w:cs="Arial"/>
              </w:rPr>
            </w:pPr>
            <w:r>
              <w:rPr>
                <w:rFonts w:ascii="Arial" w:hAnsi="Arial" w:cs="Arial"/>
              </w:rPr>
              <w:t>17.01.17</w:t>
            </w:r>
          </w:p>
        </w:tc>
        <w:tc>
          <w:tcPr>
            <w:tcW w:w="3343" w:type="pct"/>
            <w:vAlign w:val="center"/>
          </w:tcPr>
          <w:p w:rsidR="00CA37AD" w:rsidRPr="00805611" w:rsidRDefault="004F6EFB" w:rsidP="004A1F35">
            <w:pPr>
              <w:pStyle w:val="NoSpacing"/>
              <w:spacing w:before="120" w:after="120"/>
              <w:rPr>
                <w:rFonts w:ascii="Arial" w:hAnsi="Arial" w:cs="Arial"/>
              </w:rPr>
            </w:pPr>
            <w:r>
              <w:rPr>
                <w:rFonts w:ascii="Arial" w:hAnsi="Arial" w:cs="Arial"/>
              </w:rPr>
              <w:t>Point 7.6 re</w:t>
            </w:r>
            <w:r w:rsidR="004A1F35">
              <w:rPr>
                <w:rFonts w:ascii="Arial" w:hAnsi="Arial" w:cs="Arial"/>
              </w:rPr>
              <w:t>moved as setting of fees covered in section 4.</w:t>
            </w:r>
            <w:r>
              <w:rPr>
                <w:rFonts w:ascii="Arial" w:hAnsi="Arial" w:cs="Arial"/>
              </w:rPr>
              <w:t xml:space="preserve"> </w:t>
            </w:r>
          </w:p>
        </w:tc>
      </w:tr>
      <w:tr w:rsidR="00CA37AD" w:rsidRPr="00853D2A" w:rsidTr="00614B71">
        <w:trPr>
          <w:trHeight w:val="397"/>
        </w:trPr>
        <w:tc>
          <w:tcPr>
            <w:tcW w:w="630" w:type="pct"/>
            <w:vAlign w:val="center"/>
          </w:tcPr>
          <w:p w:rsidR="00CA37AD" w:rsidRPr="00805611" w:rsidRDefault="004F6EFB" w:rsidP="00614B71">
            <w:pPr>
              <w:pStyle w:val="NoSpacing"/>
              <w:spacing w:before="120" w:after="120"/>
              <w:rPr>
                <w:rFonts w:ascii="Arial" w:hAnsi="Arial" w:cs="Arial"/>
              </w:rPr>
            </w:pPr>
            <w:r>
              <w:rPr>
                <w:rFonts w:ascii="Arial" w:hAnsi="Arial" w:cs="Arial"/>
              </w:rPr>
              <w:t>2.0</w:t>
            </w:r>
          </w:p>
        </w:tc>
        <w:tc>
          <w:tcPr>
            <w:tcW w:w="1028" w:type="pct"/>
            <w:vAlign w:val="center"/>
          </w:tcPr>
          <w:p w:rsidR="00CA37AD" w:rsidRPr="00805611" w:rsidRDefault="003F109B" w:rsidP="00614B71">
            <w:pPr>
              <w:pStyle w:val="NoSpacing"/>
              <w:spacing w:before="120" w:after="120"/>
              <w:rPr>
                <w:rFonts w:ascii="Arial" w:hAnsi="Arial" w:cs="Arial"/>
              </w:rPr>
            </w:pPr>
            <w:r>
              <w:rPr>
                <w:rFonts w:ascii="Arial" w:hAnsi="Arial" w:cs="Arial"/>
              </w:rPr>
              <w:t>17.01.17</w:t>
            </w:r>
          </w:p>
        </w:tc>
        <w:tc>
          <w:tcPr>
            <w:tcW w:w="3343" w:type="pct"/>
            <w:vAlign w:val="center"/>
          </w:tcPr>
          <w:p w:rsidR="00CA37AD" w:rsidRPr="00805611" w:rsidRDefault="003F109B" w:rsidP="00614B71">
            <w:pPr>
              <w:pStyle w:val="NoSpacing"/>
              <w:spacing w:before="120" w:after="120"/>
              <w:rPr>
                <w:rFonts w:ascii="Arial" w:hAnsi="Arial" w:cs="Arial"/>
              </w:rPr>
            </w:pPr>
            <w:r>
              <w:rPr>
                <w:rFonts w:ascii="Arial" w:hAnsi="Arial" w:cs="Arial"/>
              </w:rPr>
              <w:t>Addition of new Point 7.6</w:t>
            </w:r>
            <w:r w:rsidR="004F6EFB">
              <w:rPr>
                <w:rFonts w:ascii="Arial" w:hAnsi="Arial" w:cs="Arial"/>
              </w:rPr>
              <w:t xml:space="preserve"> regarding payment by instalments following review of Codes of Practice in July 2016 </w:t>
            </w:r>
          </w:p>
        </w:tc>
      </w:tr>
      <w:tr w:rsidR="00C90E59" w:rsidRPr="00853D2A" w:rsidTr="00614B71">
        <w:trPr>
          <w:trHeight w:val="397"/>
        </w:trPr>
        <w:tc>
          <w:tcPr>
            <w:tcW w:w="630" w:type="pct"/>
            <w:vAlign w:val="center"/>
          </w:tcPr>
          <w:p w:rsidR="00C90E59" w:rsidRDefault="00C90E59" w:rsidP="00614B71">
            <w:pPr>
              <w:pStyle w:val="NoSpacing"/>
              <w:spacing w:before="120" w:after="120"/>
              <w:rPr>
                <w:rFonts w:ascii="Arial" w:hAnsi="Arial" w:cs="Arial"/>
              </w:rPr>
            </w:pPr>
            <w:r>
              <w:rPr>
                <w:rFonts w:ascii="Arial" w:hAnsi="Arial" w:cs="Arial"/>
              </w:rPr>
              <w:t>2.0</w:t>
            </w:r>
          </w:p>
        </w:tc>
        <w:tc>
          <w:tcPr>
            <w:tcW w:w="1028" w:type="pct"/>
            <w:vAlign w:val="center"/>
          </w:tcPr>
          <w:p w:rsidR="00C90E59" w:rsidRDefault="003F109B" w:rsidP="00614B71">
            <w:pPr>
              <w:pStyle w:val="NoSpacing"/>
              <w:spacing w:before="120" w:after="120"/>
              <w:rPr>
                <w:rFonts w:ascii="Arial" w:hAnsi="Arial" w:cs="Arial"/>
              </w:rPr>
            </w:pPr>
            <w:r>
              <w:rPr>
                <w:rFonts w:ascii="Arial" w:hAnsi="Arial" w:cs="Arial"/>
              </w:rPr>
              <w:t>17.01.17</w:t>
            </w:r>
          </w:p>
        </w:tc>
        <w:tc>
          <w:tcPr>
            <w:tcW w:w="3343" w:type="pct"/>
            <w:vAlign w:val="center"/>
          </w:tcPr>
          <w:p w:rsidR="00C90E59" w:rsidRDefault="003F109B" w:rsidP="00436DAC">
            <w:pPr>
              <w:pStyle w:val="NoSpacing"/>
              <w:spacing w:before="120" w:after="120"/>
              <w:rPr>
                <w:rFonts w:ascii="Arial" w:hAnsi="Arial" w:cs="Arial"/>
              </w:rPr>
            </w:pPr>
            <w:r>
              <w:rPr>
                <w:rFonts w:ascii="Arial" w:hAnsi="Arial" w:cs="Arial"/>
              </w:rPr>
              <w:t xml:space="preserve">Amendment to Section 3 - </w:t>
            </w:r>
            <w:r w:rsidR="00C90E59">
              <w:rPr>
                <w:rFonts w:ascii="Arial" w:hAnsi="Arial" w:cs="Arial"/>
              </w:rPr>
              <w:t>Academic Registrar responsible for invoicing and refunds for all courses.</w:t>
            </w:r>
          </w:p>
        </w:tc>
      </w:tr>
      <w:tr w:rsidR="003F109B" w:rsidRPr="00853D2A" w:rsidTr="00614B71">
        <w:trPr>
          <w:trHeight w:val="397"/>
        </w:trPr>
        <w:tc>
          <w:tcPr>
            <w:tcW w:w="630" w:type="pct"/>
            <w:vAlign w:val="center"/>
          </w:tcPr>
          <w:p w:rsidR="003F109B" w:rsidRDefault="003F109B" w:rsidP="00614B71">
            <w:pPr>
              <w:pStyle w:val="NoSpacing"/>
              <w:spacing w:before="120" w:after="120"/>
              <w:rPr>
                <w:rFonts w:ascii="Arial" w:hAnsi="Arial" w:cs="Arial"/>
              </w:rPr>
            </w:pPr>
            <w:r>
              <w:rPr>
                <w:rFonts w:ascii="Arial" w:hAnsi="Arial" w:cs="Arial"/>
              </w:rPr>
              <w:t>2.0</w:t>
            </w:r>
          </w:p>
        </w:tc>
        <w:tc>
          <w:tcPr>
            <w:tcW w:w="1028" w:type="pct"/>
            <w:vAlign w:val="center"/>
          </w:tcPr>
          <w:p w:rsidR="003F109B" w:rsidRDefault="003F109B" w:rsidP="00614B71">
            <w:pPr>
              <w:pStyle w:val="NoSpacing"/>
              <w:spacing w:before="120" w:after="120"/>
              <w:rPr>
                <w:rFonts w:ascii="Arial" w:hAnsi="Arial" w:cs="Arial"/>
              </w:rPr>
            </w:pPr>
            <w:r>
              <w:rPr>
                <w:rFonts w:ascii="Arial" w:hAnsi="Arial" w:cs="Arial"/>
              </w:rPr>
              <w:t>17.01.17</w:t>
            </w:r>
          </w:p>
        </w:tc>
        <w:tc>
          <w:tcPr>
            <w:tcW w:w="3343" w:type="pct"/>
            <w:vAlign w:val="center"/>
          </w:tcPr>
          <w:p w:rsidR="003F109B" w:rsidRDefault="003F109B" w:rsidP="003F109B">
            <w:pPr>
              <w:pStyle w:val="NoSpacing"/>
              <w:spacing w:before="120" w:after="120"/>
              <w:rPr>
                <w:rFonts w:ascii="Arial" w:hAnsi="Arial" w:cs="Arial"/>
              </w:rPr>
            </w:pPr>
            <w:r>
              <w:rPr>
                <w:rFonts w:ascii="Arial" w:hAnsi="Arial" w:cs="Arial"/>
              </w:rPr>
              <w:t>Amendment to 5.3.1 to include Postgraduate Loans</w:t>
            </w:r>
          </w:p>
        </w:tc>
      </w:tr>
      <w:tr w:rsidR="00A9457B" w:rsidRPr="00853D2A" w:rsidTr="00614B71">
        <w:trPr>
          <w:trHeight w:val="397"/>
        </w:trPr>
        <w:tc>
          <w:tcPr>
            <w:tcW w:w="630" w:type="pct"/>
            <w:vAlign w:val="center"/>
          </w:tcPr>
          <w:p w:rsidR="00A9457B" w:rsidRDefault="00A9457B" w:rsidP="00614B71">
            <w:pPr>
              <w:pStyle w:val="NoSpacing"/>
              <w:spacing w:before="120" w:after="120"/>
              <w:rPr>
                <w:rFonts w:ascii="Arial" w:hAnsi="Arial" w:cs="Arial"/>
              </w:rPr>
            </w:pPr>
            <w:r>
              <w:rPr>
                <w:rFonts w:ascii="Arial" w:hAnsi="Arial" w:cs="Arial"/>
              </w:rPr>
              <w:t>2.1</w:t>
            </w:r>
          </w:p>
        </w:tc>
        <w:tc>
          <w:tcPr>
            <w:tcW w:w="1028" w:type="pct"/>
            <w:vAlign w:val="center"/>
          </w:tcPr>
          <w:p w:rsidR="00A9457B" w:rsidRDefault="00A9457B" w:rsidP="00614B71">
            <w:pPr>
              <w:pStyle w:val="NoSpacing"/>
              <w:spacing w:before="120" w:after="120"/>
              <w:rPr>
                <w:rFonts w:ascii="Arial" w:hAnsi="Arial" w:cs="Arial"/>
              </w:rPr>
            </w:pPr>
            <w:r>
              <w:rPr>
                <w:rFonts w:ascii="Arial" w:hAnsi="Arial" w:cs="Arial"/>
              </w:rPr>
              <w:t>21.01.19</w:t>
            </w:r>
          </w:p>
        </w:tc>
        <w:tc>
          <w:tcPr>
            <w:tcW w:w="3343" w:type="pct"/>
            <w:vAlign w:val="center"/>
          </w:tcPr>
          <w:p w:rsidR="00A9457B" w:rsidRDefault="00A9457B" w:rsidP="003F109B">
            <w:pPr>
              <w:pStyle w:val="NoSpacing"/>
              <w:spacing w:before="120" w:after="120"/>
              <w:rPr>
                <w:rFonts w:ascii="Arial" w:hAnsi="Arial" w:cs="Arial"/>
              </w:rPr>
            </w:pPr>
            <w:r>
              <w:rPr>
                <w:rFonts w:ascii="Arial" w:hAnsi="Arial" w:cs="Arial"/>
              </w:rPr>
              <w:t>Minor edits to reflect change from Director of Education to Dean of Education and change in responsibility for invoicing from Academic Registrar to Admissions Manager</w:t>
            </w:r>
          </w:p>
        </w:tc>
      </w:tr>
    </w:tbl>
    <w:p w:rsidR="00AC5CA4" w:rsidRDefault="00AC5CA4" w:rsidP="00AC5CA4">
      <w:pPr>
        <w:pStyle w:val="CoPbodytext"/>
      </w:pPr>
    </w:p>
    <w:sectPr w:rsidR="00AC5CA4" w:rsidSect="00805611">
      <w:footerReference w:type="default" r:id="rId9"/>
      <w:pgSz w:w="11906" w:h="16838"/>
      <w:pgMar w:top="1418" w:right="1190" w:bottom="851" w:left="1701" w:header="709" w:footer="4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94A" w:rsidRDefault="0058094A" w:rsidP="00E21955">
      <w:pPr>
        <w:spacing w:after="0" w:line="240" w:lineRule="auto"/>
      </w:pPr>
      <w:r>
        <w:separator/>
      </w:r>
    </w:p>
  </w:endnote>
  <w:endnote w:type="continuationSeparator" w:id="0">
    <w:p w:rsidR="0058094A" w:rsidRDefault="0058094A" w:rsidP="00E2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FB" w:rsidRDefault="003962F0" w:rsidP="00CA5861">
    <w:pPr>
      <w:pStyle w:val="Footer"/>
      <w:rPr>
        <w:rFonts w:ascii="Arial" w:hAnsi="Arial" w:cs="Arial"/>
        <w:sz w:val="16"/>
        <w:szCs w:val="16"/>
      </w:rPr>
    </w:pPr>
    <w:r>
      <w:rPr>
        <w:rFonts w:ascii="Arial" w:hAnsi="Arial" w:cs="Arial"/>
        <w:sz w:val="16"/>
        <w:szCs w:val="16"/>
      </w:rPr>
      <w:pict>
        <v:rect id="_x0000_i1025" style="width:0;height:1.5pt" o:hralign="center" o:hrstd="t" o:hr="t" fillcolor="#a0a0a0" stroked="f"/>
      </w:pict>
    </w:r>
  </w:p>
  <w:p w:rsidR="005709FB" w:rsidRPr="007E0F79" w:rsidRDefault="005030D6" w:rsidP="00CA5861">
    <w:pPr>
      <w:pStyle w:val="Footer"/>
      <w:rPr>
        <w:rFonts w:ascii="Arial" w:hAnsi="Arial" w:cs="Arial"/>
        <w:sz w:val="16"/>
        <w:szCs w:val="16"/>
      </w:rPr>
    </w:pPr>
    <w:r>
      <w:rPr>
        <w:rFonts w:ascii="Arial" w:hAnsi="Arial" w:cs="Arial"/>
        <w:sz w:val="16"/>
        <w:szCs w:val="16"/>
      </w:rPr>
      <w:t xml:space="preserve">Version: </w:t>
    </w:r>
    <w:r w:rsidR="004F6EFB">
      <w:rPr>
        <w:rFonts w:ascii="Arial" w:hAnsi="Arial" w:cs="Arial"/>
        <w:sz w:val="16"/>
        <w:szCs w:val="16"/>
      </w:rPr>
      <w:t>2.</w:t>
    </w:r>
    <w:r w:rsidR="003962F0">
      <w:rPr>
        <w:rFonts w:ascii="Arial" w:hAnsi="Arial" w:cs="Arial"/>
        <w:sz w:val="16"/>
        <w:szCs w:val="16"/>
      </w:rPr>
      <w:t>1</w:t>
    </w:r>
  </w:p>
  <w:p w:rsidR="005709FB" w:rsidRPr="007E0F79" w:rsidRDefault="005709FB" w:rsidP="00CA5861">
    <w:pPr>
      <w:pStyle w:val="Default"/>
      <w:rPr>
        <w:sz w:val="16"/>
        <w:szCs w:val="16"/>
      </w:rPr>
    </w:pPr>
    <w:r>
      <w:rPr>
        <w:sz w:val="16"/>
        <w:szCs w:val="16"/>
      </w:rPr>
      <w:t xml:space="preserve">Code of Practice on </w:t>
    </w:r>
    <w:r w:rsidR="005F1CC3">
      <w:rPr>
        <w:sz w:val="16"/>
        <w:szCs w:val="16"/>
      </w:rPr>
      <w:t>6</w:t>
    </w:r>
    <w:r w:rsidR="00E84361">
      <w:rPr>
        <w:sz w:val="16"/>
        <w:szCs w:val="16"/>
      </w:rPr>
      <w:t xml:space="preserve">Payment </w:t>
    </w:r>
    <w:r w:rsidR="001F213F" w:rsidRPr="001F213F">
      <w:rPr>
        <w:sz w:val="16"/>
        <w:szCs w:val="16"/>
      </w:rPr>
      <w:t>and Refund of Tuition Fees</w:t>
    </w:r>
  </w:p>
  <w:p w:rsidR="005709FB" w:rsidRPr="00AC7F89" w:rsidRDefault="00E84361" w:rsidP="00BB7E56">
    <w:pPr>
      <w:pStyle w:val="Footer"/>
      <w:tabs>
        <w:tab w:val="clear" w:pos="4513"/>
        <w:tab w:val="center" w:pos="9063"/>
      </w:tabs>
      <w:rPr>
        <w:rFonts w:ascii="Arial" w:hAnsi="Arial" w:cs="Arial"/>
        <w:sz w:val="16"/>
        <w:szCs w:val="16"/>
      </w:rPr>
    </w:pPr>
    <w:r>
      <w:rPr>
        <w:rFonts w:ascii="Arial" w:hAnsi="Arial" w:cs="Arial"/>
        <w:color w:val="000000"/>
        <w:sz w:val="16"/>
        <w:szCs w:val="16"/>
      </w:rPr>
      <w:t>Date issued:</w:t>
    </w:r>
    <w:r w:rsidR="003962F0">
      <w:rPr>
        <w:rFonts w:ascii="Arial" w:hAnsi="Arial" w:cs="Arial"/>
        <w:color w:val="000000"/>
        <w:sz w:val="16"/>
        <w:szCs w:val="16"/>
      </w:rPr>
      <w:t xml:space="preserve"> 01.02.19</w:t>
    </w:r>
    <w:r w:rsidR="005709FB">
      <w:rPr>
        <w:rFonts w:ascii="Arial" w:hAnsi="Arial" w:cs="Arial"/>
        <w:color w:val="000000"/>
        <w:sz w:val="16"/>
        <w:szCs w:val="16"/>
      </w:rPr>
      <w:tab/>
    </w:r>
    <w:sdt>
      <w:sdtPr>
        <w:rPr>
          <w:rFonts w:ascii="Arial" w:hAnsi="Arial" w:cs="Arial"/>
          <w:sz w:val="16"/>
          <w:szCs w:val="16"/>
        </w:rPr>
        <w:id w:val="8401930"/>
        <w:docPartObj>
          <w:docPartGallery w:val="Page Numbers (Top of Page)"/>
          <w:docPartUnique/>
        </w:docPartObj>
      </w:sdtPr>
      <w:sdtEndPr/>
      <w:sdtContent>
        <w:r w:rsidR="005709FB" w:rsidRPr="007E0F79">
          <w:rPr>
            <w:rFonts w:ascii="Arial" w:hAnsi="Arial" w:cs="Arial"/>
            <w:sz w:val="16"/>
            <w:szCs w:val="16"/>
          </w:rPr>
          <w:t xml:space="preserve">Page </w:t>
        </w:r>
        <w:r w:rsidR="005709FB" w:rsidRPr="007E0F79">
          <w:rPr>
            <w:rFonts w:ascii="Arial" w:hAnsi="Arial" w:cs="Arial"/>
            <w:sz w:val="16"/>
            <w:szCs w:val="16"/>
          </w:rPr>
          <w:fldChar w:fldCharType="begin"/>
        </w:r>
        <w:r w:rsidR="005709FB" w:rsidRPr="007E0F79">
          <w:rPr>
            <w:rFonts w:ascii="Arial" w:hAnsi="Arial" w:cs="Arial"/>
            <w:sz w:val="16"/>
            <w:szCs w:val="16"/>
          </w:rPr>
          <w:instrText xml:space="preserve"> PAGE </w:instrText>
        </w:r>
        <w:r w:rsidR="005709FB" w:rsidRPr="007E0F79">
          <w:rPr>
            <w:rFonts w:ascii="Arial" w:hAnsi="Arial" w:cs="Arial"/>
            <w:sz w:val="16"/>
            <w:szCs w:val="16"/>
          </w:rPr>
          <w:fldChar w:fldCharType="separate"/>
        </w:r>
        <w:r w:rsidR="00162042">
          <w:rPr>
            <w:rFonts w:ascii="Arial" w:hAnsi="Arial" w:cs="Arial"/>
            <w:noProof/>
            <w:sz w:val="16"/>
            <w:szCs w:val="16"/>
          </w:rPr>
          <w:t>8</w:t>
        </w:r>
        <w:r w:rsidR="005709FB" w:rsidRPr="007E0F79">
          <w:rPr>
            <w:rFonts w:ascii="Arial" w:hAnsi="Arial" w:cs="Arial"/>
            <w:sz w:val="16"/>
            <w:szCs w:val="16"/>
          </w:rPr>
          <w:fldChar w:fldCharType="end"/>
        </w:r>
        <w:r w:rsidR="005709FB" w:rsidRPr="007E0F79">
          <w:rPr>
            <w:rFonts w:ascii="Arial" w:hAnsi="Arial" w:cs="Arial"/>
            <w:sz w:val="16"/>
            <w:szCs w:val="16"/>
          </w:rPr>
          <w:t xml:space="preserve"> of </w:t>
        </w:r>
        <w:r w:rsidR="005709FB" w:rsidRPr="007E0F79">
          <w:rPr>
            <w:rFonts w:ascii="Arial" w:hAnsi="Arial" w:cs="Arial"/>
            <w:sz w:val="16"/>
            <w:szCs w:val="16"/>
          </w:rPr>
          <w:fldChar w:fldCharType="begin"/>
        </w:r>
        <w:r w:rsidR="005709FB" w:rsidRPr="007E0F79">
          <w:rPr>
            <w:rFonts w:ascii="Arial" w:hAnsi="Arial" w:cs="Arial"/>
            <w:sz w:val="16"/>
            <w:szCs w:val="16"/>
          </w:rPr>
          <w:instrText xml:space="preserve"> NUMPAGES  </w:instrText>
        </w:r>
        <w:r w:rsidR="005709FB" w:rsidRPr="007E0F79">
          <w:rPr>
            <w:rFonts w:ascii="Arial" w:hAnsi="Arial" w:cs="Arial"/>
            <w:sz w:val="16"/>
            <w:szCs w:val="16"/>
          </w:rPr>
          <w:fldChar w:fldCharType="separate"/>
        </w:r>
        <w:r w:rsidR="00162042">
          <w:rPr>
            <w:rFonts w:ascii="Arial" w:hAnsi="Arial" w:cs="Arial"/>
            <w:noProof/>
            <w:sz w:val="16"/>
            <w:szCs w:val="16"/>
          </w:rPr>
          <w:t>8</w:t>
        </w:r>
        <w:r w:rsidR="005709FB" w:rsidRPr="007E0F79">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94A" w:rsidRDefault="0058094A" w:rsidP="00E21955">
      <w:pPr>
        <w:spacing w:after="0" w:line="240" w:lineRule="auto"/>
      </w:pPr>
      <w:r>
        <w:separator/>
      </w:r>
    </w:p>
  </w:footnote>
  <w:footnote w:type="continuationSeparator" w:id="0">
    <w:p w:rsidR="0058094A" w:rsidRDefault="0058094A" w:rsidP="00E2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D20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3A3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64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89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86E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42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788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2E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7A9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7CD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04782"/>
    <w:multiLevelType w:val="hybridMultilevel"/>
    <w:tmpl w:val="24F2A6BA"/>
    <w:lvl w:ilvl="0" w:tplc="B6B6EE72">
      <w:numFmt w:val="bullet"/>
      <w:pStyle w:val="CoPbullet"/>
      <w:lvlText w:val="•"/>
      <w:lvlJc w:val="left"/>
      <w:pPr>
        <w:ind w:left="720" w:hanging="360"/>
      </w:pPr>
      <w:rPr>
        <w:rFonts w:ascii="Arial" w:eastAsia="Arial" w:hAnsi="Arial" w:hint="default"/>
        <w:color w:val="231F20"/>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C326B"/>
    <w:multiLevelType w:val="hybridMultilevel"/>
    <w:tmpl w:val="FE7CA40E"/>
    <w:lvl w:ilvl="0" w:tplc="24EE2F80">
      <w:start w:val="1"/>
      <w:numFmt w:val="decimal"/>
      <w:lvlText w:val="%1"/>
      <w:lvlJc w:val="left"/>
      <w:pPr>
        <w:ind w:left="360" w:hanging="360"/>
      </w:pPr>
      <w:rPr>
        <w:rFonts w:ascii="Arial" w:hAnsi="Arial" w:hint="default"/>
        <w:b/>
        <w:i w:val="0"/>
        <w:color w:val="943634" w:themeColor="accent2" w:themeShade="BF"/>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A30005"/>
    <w:multiLevelType w:val="hybridMultilevel"/>
    <w:tmpl w:val="F3EA2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B57FD3"/>
    <w:multiLevelType w:val="hybridMultilevel"/>
    <w:tmpl w:val="13983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9A3D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966C7D"/>
    <w:multiLevelType w:val="multilevel"/>
    <w:tmpl w:val="B9B61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2D17C5"/>
    <w:multiLevelType w:val="multilevel"/>
    <w:tmpl w:val="CB4A4C1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7" w15:restartNumberingAfterBreak="0">
    <w:nsid w:val="55432529"/>
    <w:multiLevelType w:val="multilevel"/>
    <w:tmpl w:val="A22AC4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994978"/>
    <w:multiLevelType w:val="hybridMultilevel"/>
    <w:tmpl w:val="8D3E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500FF"/>
    <w:multiLevelType w:val="multilevel"/>
    <w:tmpl w:val="1B4E02EC"/>
    <w:lvl w:ilvl="0">
      <w:start w:val="1"/>
      <w:numFmt w:val="decimal"/>
      <w:pStyle w:val="CoPborderheading"/>
      <w:lvlText w:val="%1"/>
      <w:lvlJc w:val="left"/>
      <w:pPr>
        <w:ind w:left="360" w:hanging="360"/>
      </w:pPr>
      <w:rPr>
        <w:rFonts w:hint="default"/>
      </w:rPr>
    </w:lvl>
    <w:lvl w:ilvl="1">
      <w:start w:val="1"/>
      <w:numFmt w:val="decimal"/>
      <w:pStyle w:val="Style1"/>
      <w:isLgl/>
      <w:lvlText w:val="%1.%2"/>
      <w:lvlJc w:val="left"/>
      <w:pPr>
        <w:ind w:left="1277" w:hanging="567"/>
      </w:pPr>
      <w:rPr>
        <w:rFonts w:ascii="Arial" w:hAnsi="Arial" w:hint="default"/>
        <w:spacing w:val="0"/>
        <w:sz w:val="22"/>
      </w:rPr>
    </w:lvl>
    <w:lvl w:ilvl="2">
      <w:start w:val="1"/>
      <w:numFmt w:val="decimal"/>
      <w:pStyle w:val="CoPNumberlevel2"/>
      <w:isLgl/>
      <w:lvlText w:val="%1.%2.%3"/>
      <w:lvlJc w:val="left"/>
      <w:pPr>
        <w:ind w:left="1418" w:hanging="851"/>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441C8E"/>
    <w:multiLevelType w:val="hybridMultilevel"/>
    <w:tmpl w:val="AE54636A"/>
    <w:lvl w:ilvl="0" w:tplc="47423404">
      <w:start w:val="1"/>
      <w:numFmt w:val="decimal"/>
      <w:pStyle w:val="CoP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591DD1"/>
    <w:multiLevelType w:val="hybridMultilevel"/>
    <w:tmpl w:val="405C6C2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65094BB0"/>
    <w:multiLevelType w:val="multilevel"/>
    <w:tmpl w:val="0CD221D4"/>
    <w:lvl w:ilvl="0">
      <w:start w:val="1"/>
      <w:numFmt w:val="decimal"/>
      <w:pStyle w:val="CoPSubHea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BC2396"/>
    <w:multiLevelType w:val="hybridMultilevel"/>
    <w:tmpl w:val="B5CA758C"/>
    <w:lvl w:ilvl="0" w:tplc="E5AA3976">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691513B7"/>
    <w:multiLevelType w:val="multilevel"/>
    <w:tmpl w:val="A22AC4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FC5ACE"/>
    <w:multiLevelType w:val="multilevel"/>
    <w:tmpl w:val="A22AC4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3717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9C4920"/>
    <w:multiLevelType w:val="hybridMultilevel"/>
    <w:tmpl w:val="35705D7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7C324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4119C4"/>
    <w:multiLevelType w:val="hybridMultilevel"/>
    <w:tmpl w:val="ED3A8244"/>
    <w:lvl w:ilvl="0" w:tplc="06740D60">
      <w:start w:val="1"/>
      <w:numFmt w:val="decimal"/>
      <w:pStyle w:val="HeadingListStyl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29"/>
  </w:num>
  <w:num w:numId="3">
    <w:abstractNumId w:val="13"/>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2"/>
  </w:num>
  <w:num w:numId="20">
    <w:abstractNumId w:val="22"/>
  </w:num>
  <w:num w:numId="21">
    <w:abstractNumId w:val="11"/>
  </w:num>
  <w:num w:numId="22">
    <w:abstractNumId w:val="18"/>
  </w:num>
  <w:num w:numId="23">
    <w:abstractNumId w:val="23"/>
  </w:num>
  <w:num w:numId="24">
    <w:abstractNumId w:val="19"/>
  </w:num>
  <w:num w:numId="25">
    <w:abstractNumId w:val="28"/>
  </w:num>
  <w:num w:numId="26">
    <w:abstractNumId w:val="14"/>
  </w:num>
  <w:num w:numId="27">
    <w:abstractNumId w:val="24"/>
  </w:num>
  <w:num w:numId="28">
    <w:abstractNumId w:val="17"/>
  </w:num>
  <w:num w:numId="29">
    <w:abstractNumId w:val="25"/>
  </w:num>
  <w:num w:numId="30">
    <w:abstractNumId w:val="12"/>
  </w:num>
  <w:num w:numId="31">
    <w:abstractNumId w:val="26"/>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0"/>
  </w:num>
  <w:num w:numId="39">
    <w:abstractNumId w:val="15"/>
  </w:num>
  <w:num w:numId="40">
    <w:abstractNumId w:val="19"/>
  </w:num>
  <w:num w:numId="41">
    <w:abstractNumId w:val="2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57"/>
  <w:drawingGridVerticalSpacing w:val="170"/>
  <w:characterSpacingControl w:val="doNotCompress"/>
  <w:hdrShapeDefaults>
    <o:shapedefaults v:ext="edit" spidmax="2253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85"/>
    <w:rsid w:val="0001698A"/>
    <w:rsid w:val="0001790B"/>
    <w:rsid w:val="00025E4F"/>
    <w:rsid w:val="00034B7F"/>
    <w:rsid w:val="000406D1"/>
    <w:rsid w:val="00054E1B"/>
    <w:rsid w:val="00056292"/>
    <w:rsid w:val="00063E00"/>
    <w:rsid w:val="00080E11"/>
    <w:rsid w:val="00084650"/>
    <w:rsid w:val="00084C0E"/>
    <w:rsid w:val="000964AF"/>
    <w:rsid w:val="00097C03"/>
    <w:rsid w:val="000B3F85"/>
    <w:rsid w:val="000C31EB"/>
    <w:rsid w:val="000D5CE3"/>
    <w:rsid w:val="000D7265"/>
    <w:rsid w:val="000E03EC"/>
    <w:rsid w:val="000F6406"/>
    <w:rsid w:val="00111CE8"/>
    <w:rsid w:val="00112B19"/>
    <w:rsid w:val="001154CC"/>
    <w:rsid w:val="00124526"/>
    <w:rsid w:val="00132F50"/>
    <w:rsid w:val="00141FBA"/>
    <w:rsid w:val="001429B4"/>
    <w:rsid w:val="00143707"/>
    <w:rsid w:val="001471C6"/>
    <w:rsid w:val="00151302"/>
    <w:rsid w:val="001536BF"/>
    <w:rsid w:val="00162042"/>
    <w:rsid w:val="00176069"/>
    <w:rsid w:val="00177BE0"/>
    <w:rsid w:val="00183BCD"/>
    <w:rsid w:val="00185C41"/>
    <w:rsid w:val="00196210"/>
    <w:rsid w:val="001A046A"/>
    <w:rsid w:val="001B05D9"/>
    <w:rsid w:val="001B13BD"/>
    <w:rsid w:val="001B3D26"/>
    <w:rsid w:val="001D40B3"/>
    <w:rsid w:val="001E7FE3"/>
    <w:rsid w:val="001F213F"/>
    <w:rsid w:val="001F34CD"/>
    <w:rsid w:val="0020508F"/>
    <w:rsid w:val="00212A09"/>
    <w:rsid w:val="002162FB"/>
    <w:rsid w:val="0023410E"/>
    <w:rsid w:val="00254AE6"/>
    <w:rsid w:val="002555C8"/>
    <w:rsid w:val="00273A05"/>
    <w:rsid w:val="00276B97"/>
    <w:rsid w:val="00285202"/>
    <w:rsid w:val="002A2C51"/>
    <w:rsid w:val="002B160C"/>
    <w:rsid w:val="002B64D3"/>
    <w:rsid w:val="002C2D7F"/>
    <w:rsid w:val="002C7E71"/>
    <w:rsid w:val="002D3179"/>
    <w:rsid w:val="002E5C2F"/>
    <w:rsid w:val="002E6B50"/>
    <w:rsid w:val="002F663B"/>
    <w:rsid w:val="002F711A"/>
    <w:rsid w:val="002F73D7"/>
    <w:rsid w:val="00314FED"/>
    <w:rsid w:val="00315094"/>
    <w:rsid w:val="0032454A"/>
    <w:rsid w:val="0033564F"/>
    <w:rsid w:val="00340EE0"/>
    <w:rsid w:val="003451D3"/>
    <w:rsid w:val="00347D48"/>
    <w:rsid w:val="0035302D"/>
    <w:rsid w:val="003608E2"/>
    <w:rsid w:val="003773EF"/>
    <w:rsid w:val="00383170"/>
    <w:rsid w:val="00384F14"/>
    <w:rsid w:val="00391BEC"/>
    <w:rsid w:val="003962F0"/>
    <w:rsid w:val="003979F5"/>
    <w:rsid w:val="00397BDB"/>
    <w:rsid w:val="003C05BC"/>
    <w:rsid w:val="003C5E2D"/>
    <w:rsid w:val="003D3DFA"/>
    <w:rsid w:val="003E328F"/>
    <w:rsid w:val="003E5663"/>
    <w:rsid w:val="003F109B"/>
    <w:rsid w:val="0042383C"/>
    <w:rsid w:val="004250EE"/>
    <w:rsid w:val="00432753"/>
    <w:rsid w:val="00436DAC"/>
    <w:rsid w:val="004419E9"/>
    <w:rsid w:val="004578E1"/>
    <w:rsid w:val="004704C8"/>
    <w:rsid w:val="00481740"/>
    <w:rsid w:val="00482D75"/>
    <w:rsid w:val="004A1F35"/>
    <w:rsid w:val="004A6EE4"/>
    <w:rsid w:val="004B5C73"/>
    <w:rsid w:val="004B602A"/>
    <w:rsid w:val="004D0A9E"/>
    <w:rsid w:val="004D6C95"/>
    <w:rsid w:val="004E42D6"/>
    <w:rsid w:val="004E4953"/>
    <w:rsid w:val="004F6EFB"/>
    <w:rsid w:val="005030D6"/>
    <w:rsid w:val="005121B5"/>
    <w:rsid w:val="00521FC0"/>
    <w:rsid w:val="00524EB3"/>
    <w:rsid w:val="00546972"/>
    <w:rsid w:val="0055578F"/>
    <w:rsid w:val="005575D9"/>
    <w:rsid w:val="00560E9E"/>
    <w:rsid w:val="00564B29"/>
    <w:rsid w:val="005709FB"/>
    <w:rsid w:val="0057702A"/>
    <w:rsid w:val="0058094A"/>
    <w:rsid w:val="005A0E8C"/>
    <w:rsid w:val="005C28B1"/>
    <w:rsid w:val="005C384A"/>
    <w:rsid w:val="005C7B3B"/>
    <w:rsid w:val="005E0570"/>
    <w:rsid w:val="005E6CE6"/>
    <w:rsid w:val="005E7A45"/>
    <w:rsid w:val="005F1CC3"/>
    <w:rsid w:val="006113B5"/>
    <w:rsid w:val="00611736"/>
    <w:rsid w:val="00622437"/>
    <w:rsid w:val="00627DB8"/>
    <w:rsid w:val="00631080"/>
    <w:rsid w:val="00642187"/>
    <w:rsid w:val="00662AC8"/>
    <w:rsid w:val="006707CC"/>
    <w:rsid w:val="0067281F"/>
    <w:rsid w:val="00692B99"/>
    <w:rsid w:val="00695844"/>
    <w:rsid w:val="00696AD5"/>
    <w:rsid w:val="006D3DD5"/>
    <w:rsid w:val="006E23DD"/>
    <w:rsid w:val="006E6266"/>
    <w:rsid w:val="00702214"/>
    <w:rsid w:val="0070301E"/>
    <w:rsid w:val="00724BBC"/>
    <w:rsid w:val="007306DA"/>
    <w:rsid w:val="00752CEA"/>
    <w:rsid w:val="007569D7"/>
    <w:rsid w:val="0077181E"/>
    <w:rsid w:val="007826FE"/>
    <w:rsid w:val="00784DD2"/>
    <w:rsid w:val="007876BC"/>
    <w:rsid w:val="007A30E4"/>
    <w:rsid w:val="007A58D9"/>
    <w:rsid w:val="007D067D"/>
    <w:rsid w:val="007E21FE"/>
    <w:rsid w:val="007E31E1"/>
    <w:rsid w:val="008044CD"/>
    <w:rsid w:val="00805611"/>
    <w:rsid w:val="00815CD2"/>
    <w:rsid w:val="008313BA"/>
    <w:rsid w:val="00832185"/>
    <w:rsid w:val="008442A6"/>
    <w:rsid w:val="00846190"/>
    <w:rsid w:val="00846FB2"/>
    <w:rsid w:val="0084788E"/>
    <w:rsid w:val="00852570"/>
    <w:rsid w:val="00853D2A"/>
    <w:rsid w:val="008612B8"/>
    <w:rsid w:val="008630EF"/>
    <w:rsid w:val="00876075"/>
    <w:rsid w:val="008A1BBE"/>
    <w:rsid w:val="008A7588"/>
    <w:rsid w:val="008B4C1B"/>
    <w:rsid w:val="008B6CFC"/>
    <w:rsid w:val="008E3E61"/>
    <w:rsid w:val="008F6960"/>
    <w:rsid w:val="0090725D"/>
    <w:rsid w:val="00915038"/>
    <w:rsid w:val="00916B3E"/>
    <w:rsid w:val="00920550"/>
    <w:rsid w:val="0092740C"/>
    <w:rsid w:val="009425B9"/>
    <w:rsid w:val="00966547"/>
    <w:rsid w:val="00974334"/>
    <w:rsid w:val="0098007F"/>
    <w:rsid w:val="00981629"/>
    <w:rsid w:val="0098423E"/>
    <w:rsid w:val="009873CE"/>
    <w:rsid w:val="0099600C"/>
    <w:rsid w:val="009B10B3"/>
    <w:rsid w:val="009B5E74"/>
    <w:rsid w:val="009B62E2"/>
    <w:rsid w:val="009D1568"/>
    <w:rsid w:val="009D2E67"/>
    <w:rsid w:val="009D72B1"/>
    <w:rsid w:val="009E20A7"/>
    <w:rsid w:val="009E4D81"/>
    <w:rsid w:val="009F24BF"/>
    <w:rsid w:val="00A00166"/>
    <w:rsid w:val="00A123C5"/>
    <w:rsid w:val="00A456D2"/>
    <w:rsid w:val="00A708BF"/>
    <w:rsid w:val="00A70FD6"/>
    <w:rsid w:val="00A85A11"/>
    <w:rsid w:val="00A85B07"/>
    <w:rsid w:val="00A91F8A"/>
    <w:rsid w:val="00A9402C"/>
    <w:rsid w:val="00A9457B"/>
    <w:rsid w:val="00A96C21"/>
    <w:rsid w:val="00A97BF3"/>
    <w:rsid w:val="00AB7772"/>
    <w:rsid w:val="00AC29C2"/>
    <w:rsid w:val="00AC5CA4"/>
    <w:rsid w:val="00AC786D"/>
    <w:rsid w:val="00AD0B66"/>
    <w:rsid w:val="00AD446E"/>
    <w:rsid w:val="00AD5BB5"/>
    <w:rsid w:val="00AE4F1A"/>
    <w:rsid w:val="00AE7468"/>
    <w:rsid w:val="00AF57E6"/>
    <w:rsid w:val="00B13D4D"/>
    <w:rsid w:val="00B17C8A"/>
    <w:rsid w:val="00B313B4"/>
    <w:rsid w:val="00B34036"/>
    <w:rsid w:val="00B34628"/>
    <w:rsid w:val="00B368F1"/>
    <w:rsid w:val="00B438A5"/>
    <w:rsid w:val="00B72075"/>
    <w:rsid w:val="00B81A46"/>
    <w:rsid w:val="00B93797"/>
    <w:rsid w:val="00BB188B"/>
    <w:rsid w:val="00BB2003"/>
    <w:rsid w:val="00BB3562"/>
    <w:rsid w:val="00BB7E56"/>
    <w:rsid w:val="00BC4E98"/>
    <w:rsid w:val="00BE1727"/>
    <w:rsid w:val="00BE79EA"/>
    <w:rsid w:val="00C0017B"/>
    <w:rsid w:val="00C001F3"/>
    <w:rsid w:val="00C040BE"/>
    <w:rsid w:val="00C11613"/>
    <w:rsid w:val="00C21CDD"/>
    <w:rsid w:val="00C2279A"/>
    <w:rsid w:val="00C356B9"/>
    <w:rsid w:val="00C546F4"/>
    <w:rsid w:val="00C616E1"/>
    <w:rsid w:val="00C64B92"/>
    <w:rsid w:val="00C659A9"/>
    <w:rsid w:val="00C7558A"/>
    <w:rsid w:val="00C8024F"/>
    <w:rsid w:val="00C828AE"/>
    <w:rsid w:val="00C90E59"/>
    <w:rsid w:val="00C91E32"/>
    <w:rsid w:val="00C922ED"/>
    <w:rsid w:val="00C934D2"/>
    <w:rsid w:val="00CA2CD7"/>
    <w:rsid w:val="00CA33D3"/>
    <w:rsid w:val="00CA37AD"/>
    <w:rsid w:val="00CA5861"/>
    <w:rsid w:val="00CD04F2"/>
    <w:rsid w:val="00D06003"/>
    <w:rsid w:val="00D23717"/>
    <w:rsid w:val="00D35BAE"/>
    <w:rsid w:val="00D4060F"/>
    <w:rsid w:val="00D47BFE"/>
    <w:rsid w:val="00D55889"/>
    <w:rsid w:val="00D63119"/>
    <w:rsid w:val="00D6697B"/>
    <w:rsid w:val="00D806D7"/>
    <w:rsid w:val="00DA34D4"/>
    <w:rsid w:val="00DB06B6"/>
    <w:rsid w:val="00DB0CD9"/>
    <w:rsid w:val="00DB0EE7"/>
    <w:rsid w:val="00DC09BF"/>
    <w:rsid w:val="00DC5F0B"/>
    <w:rsid w:val="00DD4890"/>
    <w:rsid w:val="00DE1BD1"/>
    <w:rsid w:val="00DE2B7E"/>
    <w:rsid w:val="00DE3B53"/>
    <w:rsid w:val="00DF0769"/>
    <w:rsid w:val="00DF0C7F"/>
    <w:rsid w:val="00DF6889"/>
    <w:rsid w:val="00E02DF0"/>
    <w:rsid w:val="00E03F1F"/>
    <w:rsid w:val="00E06115"/>
    <w:rsid w:val="00E061A5"/>
    <w:rsid w:val="00E16DC4"/>
    <w:rsid w:val="00E20095"/>
    <w:rsid w:val="00E21955"/>
    <w:rsid w:val="00E2635D"/>
    <w:rsid w:val="00E333E7"/>
    <w:rsid w:val="00E434E9"/>
    <w:rsid w:val="00E43E6B"/>
    <w:rsid w:val="00E565B9"/>
    <w:rsid w:val="00E61E3F"/>
    <w:rsid w:val="00E84361"/>
    <w:rsid w:val="00E84CDC"/>
    <w:rsid w:val="00E92B0F"/>
    <w:rsid w:val="00EA6261"/>
    <w:rsid w:val="00EA6BBC"/>
    <w:rsid w:val="00EB19C8"/>
    <w:rsid w:val="00EC181C"/>
    <w:rsid w:val="00EC2C7C"/>
    <w:rsid w:val="00ED1585"/>
    <w:rsid w:val="00ED4A53"/>
    <w:rsid w:val="00ED7E4A"/>
    <w:rsid w:val="00F05129"/>
    <w:rsid w:val="00F05987"/>
    <w:rsid w:val="00F2189C"/>
    <w:rsid w:val="00F22E6A"/>
    <w:rsid w:val="00F23DBD"/>
    <w:rsid w:val="00F30E62"/>
    <w:rsid w:val="00F55604"/>
    <w:rsid w:val="00F70E21"/>
    <w:rsid w:val="00F71102"/>
    <w:rsid w:val="00F93752"/>
    <w:rsid w:val="00FA091E"/>
    <w:rsid w:val="00FA77A8"/>
    <w:rsid w:val="00FC5ABB"/>
    <w:rsid w:val="00FD7516"/>
    <w:rsid w:val="00FF116C"/>
    <w:rsid w:val="00FF1CE7"/>
    <w:rsid w:val="00FF22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165010F"/>
  <w15:docId w15:val="{4758380F-B9B3-46C2-B8FF-49088438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F8A"/>
  </w:style>
  <w:style w:type="paragraph" w:styleId="Heading1">
    <w:name w:val="heading 1"/>
    <w:basedOn w:val="Normal"/>
    <w:next w:val="Normal"/>
    <w:link w:val="Heading1Char"/>
    <w:uiPriority w:val="9"/>
    <w:qFormat/>
    <w:rsid w:val="00966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65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6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A53"/>
    <w:rPr>
      <w:color w:val="0000FF" w:themeColor="hyperlink"/>
      <w:u w:val="single"/>
    </w:rPr>
  </w:style>
  <w:style w:type="paragraph" w:styleId="NoSpacing">
    <w:name w:val="No Spacing"/>
    <w:link w:val="NoSpacingChar"/>
    <w:uiPriority w:val="1"/>
    <w:qFormat/>
    <w:rsid w:val="00ED4A53"/>
    <w:pPr>
      <w:spacing w:after="0" w:line="240" w:lineRule="auto"/>
    </w:pPr>
    <w:rPr>
      <w:rFonts w:eastAsiaTheme="minorHAnsi"/>
      <w:lang w:eastAsia="en-US"/>
    </w:rPr>
  </w:style>
  <w:style w:type="paragraph" w:styleId="ListParagraph">
    <w:name w:val="List Paragraph"/>
    <w:basedOn w:val="Normal"/>
    <w:link w:val="ListParagraphChar"/>
    <w:uiPriority w:val="34"/>
    <w:qFormat/>
    <w:rsid w:val="00ED4A53"/>
    <w:pPr>
      <w:ind w:left="720"/>
      <w:contextualSpacing/>
    </w:pPr>
  </w:style>
  <w:style w:type="paragraph" w:customStyle="1" w:styleId="Default">
    <w:name w:val="Default"/>
    <w:rsid w:val="00ED4A5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ED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A53"/>
    <w:rPr>
      <w:rFonts w:eastAsiaTheme="minorHAnsi"/>
      <w:lang w:eastAsia="en-US"/>
    </w:rPr>
  </w:style>
  <w:style w:type="paragraph" w:styleId="Footer">
    <w:name w:val="footer"/>
    <w:basedOn w:val="Normal"/>
    <w:link w:val="FooterChar"/>
    <w:unhideWhenUsed/>
    <w:rsid w:val="00ED4A53"/>
    <w:pPr>
      <w:tabs>
        <w:tab w:val="center" w:pos="4513"/>
        <w:tab w:val="right" w:pos="9026"/>
      </w:tabs>
      <w:spacing w:after="0" w:line="240" w:lineRule="auto"/>
    </w:pPr>
  </w:style>
  <w:style w:type="character" w:customStyle="1" w:styleId="FooterChar">
    <w:name w:val="Footer Char"/>
    <w:basedOn w:val="DefaultParagraphFont"/>
    <w:link w:val="Footer"/>
    <w:rsid w:val="00ED4A53"/>
    <w:rPr>
      <w:rFonts w:eastAsiaTheme="minorHAnsi"/>
      <w:lang w:eastAsia="en-US"/>
    </w:rPr>
  </w:style>
  <w:style w:type="character" w:customStyle="1" w:styleId="NoSpacingChar">
    <w:name w:val="No Spacing Char"/>
    <w:basedOn w:val="DefaultParagraphFont"/>
    <w:link w:val="NoSpacing"/>
    <w:uiPriority w:val="1"/>
    <w:locked/>
    <w:rsid w:val="00ED4A53"/>
    <w:rPr>
      <w:rFonts w:eastAsiaTheme="minorHAnsi"/>
      <w:lang w:eastAsia="en-US"/>
    </w:rPr>
  </w:style>
  <w:style w:type="paragraph" w:styleId="TOC1">
    <w:name w:val="toc 1"/>
    <w:basedOn w:val="CoPborderheading"/>
    <w:next w:val="Normal"/>
    <w:autoRedefine/>
    <w:uiPriority w:val="39"/>
    <w:unhideWhenUsed/>
    <w:rsid w:val="00846FB2"/>
    <w:pPr>
      <w:keepNext w:val="0"/>
      <w:keepLines w:val="0"/>
      <w:numPr>
        <w:numId w:val="0"/>
      </w:numPr>
      <w:pBdr>
        <w:top w:val="none" w:sz="0" w:space="0" w:color="auto"/>
        <w:bottom w:val="none" w:sz="0" w:space="0" w:color="auto"/>
      </w:pBdr>
      <w:tabs>
        <w:tab w:val="left" w:pos="567"/>
        <w:tab w:val="left" w:pos="8364"/>
      </w:tabs>
      <w:autoSpaceDE/>
      <w:autoSpaceDN/>
      <w:adjustRightInd/>
      <w:spacing w:before="240" w:after="120" w:line="276" w:lineRule="auto"/>
      <w:jc w:val="left"/>
    </w:pPr>
    <w:rPr>
      <w:rFonts w:ascii="Arial" w:hAnsi="Arial"/>
      <w:b w:val="0"/>
      <w:noProof/>
      <w:color w:val="auto"/>
      <w:sz w:val="28"/>
    </w:rPr>
  </w:style>
  <w:style w:type="paragraph" w:customStyle="1" w:styleId="HeadingListStyle">
    <w:name w:val="Heading List Style"/>
    <w:basedOn w:val="ListParagraph"/>
    <w:qFormat/>
    <w:rsid w:val="00ED4A53"/>
    <w:pPr>
      <w:numPr>
        <w:numId w:val="2"/>
      </w:numPr>
      <w:autoSpaceDE w:val="0"/>
      <w:autoSpaceDN w:val="0"/>
      <w:adjustRightInd w:val="0"/>
      <w:spacing w:after="0" w:line="240" w:lineRule="auto"/>
      <w:jc w:val="both"/>
    </w:pPr>
    <w:rPr>
      <w:rFonts w:ascii="Arial" w:hAnsi="Arial" w:cs="Arial"/>
      <w:b/>
      <w:bCs/>
      <w:color w:val="000000"/>
      <w:sz w:val="20"/>
      <w:szCs w:val="20"/>
      <w:u w:val="single"/>
    </w:rPr>
  </w:style>
  <w:style w:type="paragraph" w:customStyle="1" w:styleId="CoPHeading1">
    <w:name w:val="CoP Heading 1"/>
    <w:basedOn w:val="ListParagraph"/>
    <w:rsid w:val="00ED4A53"/>
    <w:pPr>
      <w:keepNext/>
      <w:numPr>
        <w:numId w:val="4"/>
      </w:numPr>
      <w:spacing w:before="360" w:after="40" w:line="240" w:lineRule="auto"/>
      <w:ind w:left="570" w:hanging="570"/>
      <w:contextualSpacing w:val="0"/>
    </w:pPr>
    <w:rPr>
      <w:rFonts w:ascii="Arial" w:hAnsi="Arial" w:cs="Arial"/>
      <w:b/>
      <w:color w:val="943634" w:themeColor="accent2" w:themeShade="BF"/>
      <w:sz w:val="24"/>
      <w:szCs w:val="24"/>
      <w:lang w:eastAsia="zh-CN"/>
    </w:rPr>
  </w:style>
  <w:style w:type="paragraph" w:styleId="Title">
    <w:name w:val="Title"/>
    <w:basedOn w:val="Normal"/>
    <w:next w:val="Normal"/>
    <w:link w:val="TitleChar"/>
    <w:uiPriority w:val="10"/>
    <w:qFormat/>
    <w:rsid w:val="001760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53"/>
    <w:rPr>
      <w:rFonts w:ascii="Tahoma" w:eastAsiaTheme="minorHAnsi" w:hAnsi="Tahoma" w:cs="Tahoma"/>
      <w:sz w:val="16"/>
      <w:szCs w:val="16"/>
      <w:lang w:eastAsia="en-US"/>
    </w:rPr>
  </w:style>
  <w:style w:type="paragraph" w:customStyle="1" w:styleId="CoPborderheading">
    <w:name w:val="CoP border heading"/>
    <w:basedOn w:val="Normal"/>
    <w:autoRedefine/>
    <w:qFormat/>
    <w:rsid w:val="00846FB2"/>
    <w:pPr>
      <w:keepNext/>
      <w:keepLines/>
      <w:numPr>
        <w:numId w:val="24"/>
      </w:numPr>
      <w:pBdr>
        <w:top w:val="single" w:sz="4" w:space="9" w:color="943634" w:themeColor="accent2" w:themeShade="BF"/>
        <w:bottom w:val="single" w:sz="4" w:space="9" w:color="943634" w:themeColor="accent2" w:themeShade="BF"/>
      </w:pBdr>
      <w:autoSpaceDE w:val="0"/>
      <w:autoSpaceDN w:val="0"/>
      <w:adjustRightInd w:val="0"/>
      <w:spacing w:before="600" w:after="0" w:line="240" w:lineRule="auto"/>
      <w:jc w:val="both"/>
    </w:pPr>
    <w:rPr>
      <w:rFonts w:ascii="Arial Bold" w:hAnsi="Arial Bold" w:cs="Arial"/>
      <w:b/>
      <w:bCs/>
      <w:color w:val="943634" w:themeColor="accent2" w:themeShade="BF"/>
      <w:sz w:val="24"/>
      <w:szCs w:val="28"/>
    </w:rPr>
  </w:style>
  <w:style w:type="paragraph" w:customStyle="1" w:styleId="CoPv2Heading">
    <w:name w:val="CoP v2 Heading"/>
    <w:basedOn w:val="Normal"/>
    <w:autoRedefine/>
    <w:qFormat/>
    <w:rsid w:val="00CA5861"/>
    <w:pPr>
      <w:keepNext/>
      <w:spacing w:after="0" w:line="240" w:lineRule="auto"/>
      <w:ind w:left="573" w:hanging="573"/>
    </w:pPr>
    <w:rPr>
      <w:rFonts w:ascii="Arial" w:hAnsi="Arial" w:cs="Arial"/>
      <w:b/>
      <w:color w:val="943634" w:themeColor="accent2" w:themeShade="BF"/>
      <w:sz w:val="24"/>
      <w:szCs w:val="24"/>
      <w:lang w:eastAsia="zh-CN"/>
    </w:rPr>
  </w:style>
  <w:style w:type="paragraph" w:customStyle="1" w:styleId="CoPbodytext">
    <w:name w:val="CoP body text"/>
    <w:basedOn w:val="Normal"/>
    <w:qFormat/>
    <w:rsid w:val="00D23717"/>
    <w:pPr>
      <w:autoSpaceDE w:val="0"/>
      <w:autoSpaceDN w:val="0"/>
      <w:adjustRightInd w:val="0"/>
      <w:spacing w:before="240" w:after="240"/>
      <w:jc w:val="both"/>
    </w:pPr>
    <w:rPr>
      <w:rFonts w:ascii="Arial" w:eastAsia="Times New Roman" w:hAnsi="Arial" w:cs="Arial"/>
      <w:color w:val="000000"/>
    </w:rPr>
  </w:style>
  <w:style w:type="paragraph" w:customStyle="1" w:styleId="CoPbullet">
    <w:name w:val="CoP bullet"/>
    <w:basedOn w:val="ListBullet"/>
    <w:link w:val="CoPbulletChar"/>
    <w:qFormat/>
    <w:rsid w:val="009E4D81"/>
    <w:pPr>
      <w:numPr>
        <w:numId w:val="38"/>
      </w:numPr>
      <w:autoSpaceDE w:val="0"/>
      <w:autoSpaceDN w:val="0"/>
      <w:adjustRightInd w:val="0"/>
      <w:spacing w:before="120" w:after="120" w:line="240" w:lineRule="auto"/>
      <w:ind w:right="346"/>
      <w:contextualSpacing w:val="0"/>
      <w:jc w:val="both"/>
    </w:pPr>
    <w:rPr>
      <w:rFonts w:ascii="Arial" w:hAnsi="Arial" w:cs="Arial"/>
    </w:rPr>
  </w:style>
  <w:style w:type="character" w:customStyle="1" w:styleId="Heading1Char">
    <w:name w:val="Heading 1 Char"/>
    <w:basedOn w:val="DefaultParagraphFont"/>
    <w:link w:val="Heading1"/>
    <w:uiPriority w:val="9"/>
    <w:rsid w:val="0096654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96654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66547"/>
    <w:rPr>
      <w:rFonts w:asciiTheme="majorHAnsi" w:eastAsiaTheme="majorEastAsia" w:hAnsiTheme="majorHAnsi" w:cstheme="majorBidi"/>
      <w:b/>
      <w:bCs/>
      <w:color w:val="4F81BD" w:themeColor="accent1"/>
      <w:lang w:eastAsia="en-US"/>
    </w:rPr>
  </w:style>
  <w:style w:type="paragraph" w:customStyle="1" w:styleId="CoPSubHead">
    <w:name w:val="CoP SubHead"/>
    <w:basedOn w:val="CoPbullet"/>
    <w:link w:val="CoPSubHeadChar"/>
    <w:rsid w:val="00920550"/>
    <w:pPr>
      <w:numPr>
        <w:numId w:val="19"/>
      </w:numPr>
      <w:spacing w:before="480"/>
    </w:pPr>
    <w:rPr>
      <w:b/>
      <w:color w:val="943634" w:themeColor="accent2" w:themeShade="BF"/>
    </w:rPr>
  </w:style>
  <w:style w:type="paragraph" w:styleId="TOC2">
    <w:name w:val="toc 2"/>
    <w:basedOn w:val="Style1"/>
    <w:next w:val="Normal"/>
    <w:autoRedefine/>
    <w:uiPriority w:val="39"/>
    <w:unhideWhenUsed/>
    <w:rsid w:val="009E4D81"/>
    <w:pPr>
      <w:numPr>
        <w:ilvl w:val="0"/>
        <w:numId w:val="0"/>
      </w:numPr>
      <w:spacing w:before="120" w:after="0"/>
      <w:ind w:left="220"/>
      <w:contextualSpacing w:val="0"/>
    </w:pPr>
    <w:rPr>
      <w:rFonts w:asciiTheme="minorHAnsi" w:hAnsiTheme="minorHAnsi" w:cstheme="minorBidi"/>
      <w:i/>
      <w:iCs/>
      <w:sz w:val="20"/>
      <w:szCs w:val="20"/>
    </w:rPr>
  </w:style>
  <w:style w:type="character" w:customStyle="1" w:styleId="CoPbulletChar">
    <w:name w:val="CoP bullet Char"/>
    <w:basedOn w:val="DefaultParagraphFont"/>
    <w:link w:val="CoPbullet"/>
    <w:rsid w:val="009E4D81"/>
    <w:rPr>
      <w:rFonts w:ascii="Arial" w:hAnsi="Arial" w:cs="Arial"/>
    </w:rPr>
  </w:style>
  <w:style w:type="character" w:customStyle="1" w:styleId="CoPSubHeadChar">
    <w:name w:val="CoP SubHead Char"/>
    <w:basedOn w:val="CoPbulletChar"/>
    <w:link w:val="CoPSubHead"/>
    <w:rsid w:val="00920550"/>
    <w:rPr>
      <w:rFonts w:ascii="Arial" w:eastAsiaTheme="minorHAnsi" w:hAnsi="Arial" w:cs="Arial"/>
      <w:lang w:eastAsia="en-US"/>
    </w:rPr>
  </w:style>
  <w:style w:type="paragraph" w:styleId="FootnoteText">
    <w:name w:val="footnote text"/>
    <w:basedOn w:val="Normal"/>
    <w:link w:val="FootnoteTextChar"/>
    <w:uiPriority w:val="99"/>
    <w:semiHidden/>
    <w:unhideWhenUsed/>
    <w:rsid w:val="00611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3B5"/>
    <w:rPr>
      <w:rFonts w:eastAsiaTheme="minorHAnsi"/>
      <w:sz w:val="20"/>
      <w:szCs w:val="20"/>
      <w:lang w:eastAsia="en-US"/>
    </w:rPr>
  </w:style>
  <w:style w:type="character" w:styleId="FootnoteReference">
    <w:name w:val="footnote reference"/>
    <w:basedOn w:val="DefaultParagraphFont"/>
    <w:uiPriority w:val="99"/>
    <w:semiHidden/>
    <w:unhideWhenUsed/>
    <w:rsid w:val="006113B5"/>
    <w:rPr>
      <w:vertAlign w:val="superscript"/>
    </w:rPr>
  </w:style>
  <w:style w:type="character" w:styleId="CommentReference">
    <w:name w:val="annotation reference"/>
    <w:basedOn w:val="DefaultParagraphFont"/>
    <w:uiPriority w:val="99"/>
    <w:semiHidden/>
    <w:unhideWhenUsed/>
    <w:rsid w:val="00315094"/>
    <w:rPr>
      <w:sz w:val="16"/>
      <w:szCs w:val="16"/>
    </w:rPr>
  </w:style>
  <w:style w:type="paragraph" w:styleId="CommentText">
    <w:name w:val="annotation text"/>
    <w:basedOn w:val="Normal"/>
    <w:link w:val="CommentTextChar"/>
    <w:uiPriority w:val="99"/>
    <w:semiHidden/>
    <w:unhideWhenUsed/>
    <w:rsid w:val="00315094"/>
    <w:pPr>
      <w:spacing w:line="240" w:lineRule="auto"/>
    </w:pPr>
    <w:rPr>
      <w:sz w:val="20"/>
      <w:szCs w:val="20"/>
    </w:rPr>
  </w:style>
  <w:style w:type="character" w:customStyle="1" w:styleId="CommentTextChar">
    <w:name w:val="Comment Text Char"/>
    <w:basedOn w:val="DefaultParagraphFont"/>
    <w:link w:val="CommentText"/>
    <w:uiPriority w:val="99"/>
    <w:semiHidden/>
    <w:rsid w:val="00315094"/>
    <w:rPr>
      <w:sz w:val="20"/>
      <w:szCs w:val="20"/>
    </w:rPr>
  </w:style>
  <w:style w:type="paragraph" w:styleId="CommentSubject">
    <w:name w:val="annotation subject"/>
    <w:basedOn w:val="CommentText"/>
    <w:next w:val="CommentText"/>
    <w:link w:val="CommentSubjectChar"/>
    <w:uiPriority w:val="99"/>
    <w:semiHidden/>
    <w:unhideWhenUsed/>
    <w:rsid w:val="00315094"/>
    <w:rPr>
      <w:b/>
      <w:bCs/>
    </w:rPr>
  </w:style>
  <w:style w:type="character" w:customStyle="1" w:styleId="CommentSubjectChar">
    <w:name w:val="Comment Subject Char"/>
    <w:basedOn w:val="CommentTextChar"/>
    <w:link w:val="CommentSubject"/>
    <w:uiPriority w:val="99"/>
    <w:semiHidden/>
    <w:rsid w:val="00315094"/>
    <w:rPr>
      <w:b/>
      <w:bCs/>
      <w:sz w:val="20"/>
      <w:szCs w:val="20"/>
    </w:rPr>
  </w:style>
  <w:style w:type="character" w:styleId="FollowedHyperlink">
    <w:name w:val="FollowedHyperlink"/>
    <w:basedOn w:val="DefaultParagraphFont"/>
    <w:uiPriority w:val="99"/>
    <w:semiHidden/>
    <w:unhideWhenUsed/>
    <w:rsid w:val="00E92B0F"/>
    <w:rPr>
      <w:color w:val="800080" w:themeColor="followedHyperlink"/>
      <w:u w:val="single"/>
    </w:rPr>
  </w:style>
  <w:style w:type="paragraph" w:customStyle="1" w:styleId="Style1">
    <w:name w:val="Style1"/>
    <w:basedOn w:val="ListParagraph"/>
    <w:link w:val="Style1Char"/>
    <w:qFormat/>
    <w:rsid w:val="00A96C21"/>
    <w:pPr>
      <w:numPr>
        <w:ilvl w:val="1"/>
        <w:numId w:val="24"/>
      </w:numPr>
    </w:pPr>
    <w:rPr>
      <w:rFonts w:ascii="Arial" w:hAnsi="Arial" w:cs="Arial"/>
    </w:rPr>
  </w:style>
  <w:style w:type="character" w:customStyle="1" w:styleId="ListParagraphChar">
    <w:name w:val="List Paragraph Char"/>
    <w:basedOn w:val="DefaultParagraphFont"/>
    <w:link w:val="ListParagraph"/>
    <w:uiPriority w:val="34"/>
    <w:rsid w:val="00A96C21"/>
  </w:style>
  <w:style w:type="character" w:customStyle="1" w:styleId="Style1Char">
    <w:name w:val="Style1 Char"/>
    <w:basedOn w:val="ListParagraphChar"/>
    <w:link w:val="Style1"/>
    <w:rsid w:val="00A96C21"/>
    <w:rPr>
      <w:rFonts w:ascii="Arial" w:hAnsi="Arial" w:cs="Arial"/>
    </w:rPr>
  </w:style>
  <w:style w:type="paragraph" w:customStyle="1" w:styleId="expandinner">
    <w:name w:val="expandinner"/>
    <w:basedOn w:val="Normal"/>
    <w:rsid w:val="00FA091E"/>
    <w:pPr>
      <w:spacing w:after="360" w:line="240" w:lineRule="auto"/>
    </w:pPr>
    <w:rPr>
      <w:rFonts w:ascii="Times New Roman" w:eastAsia="Times New Roman" w:hAnsi="Times New Roman" w:cs="Times New Roman"/>
      <w:sz w:val="19"/>
      <w:szCs w:val="19"/>
    </w:rPr>
  </w:style>
  <w:style w:type="character" w:customStyle="1" w:styleId="TitleChar">
    <w:name w:val="Title Char"/>
    <w:basedOn w:val="DefaultParagraphFont"/>
    <w:link w:val="Title"/>
    <w:uiPriority w:val="10"/>
    <w:rsid w:val="00176069"/>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TOC3"/>
    <w:link w:val="Style2Char"/>
    <w:qFormat/>
    <w:rsid w:val="00662AC8"/>
    <w:pPr>
      <w:numPr>
        <w:ilvl w:val="2"/>
        <w:numId w:val="24"/>
      </w:numPr>
    </w:pPr>
  </w:style>
  <w:style w:type="paragraph" w:styleId="TOC3">
    <w:name w:val="toc 3"/>
    <w:basedOn w:val="CoPNumberlevel2"/>
    <w:next w:val="Normal"/>
    <w:autoRedefine/>
    <w:uiPriority w:val="39"/>
    <w:unhideWhenUsed/>
    <w:rsid w:val="00662AC8"/>
    <w:pPr>
      <w:numPr>
        <w:ilvl w:val="0"/>
        <w:numId w:val="0"/>
      </w:numPr>
      <w:spacing w:after="0"/>
      <w:ind w:left="440"/>
    </w:pPr>
    <w:rPr>
      <w:rFonts w:asciiTheme="minorHAnsi" w:hAnsiTheme="minorHAnsi" w:cstheme="minorBidi"/>
      <w:sz w:val="20"/>
      <w:szCs w:val="20"/>
    </w:rPr>
  </w:style>
  <w:style w:type="paragraph" w:styleId="TOCHeading">
    <w:name w:val="TOC Heading"/>
    <w:basedOn w:val="Heading1"/>
    <w:next w:val="Normal"/>
    <w:uiPriority w:val="39"/>
    <w:semiHidden/>
    <w:unhideWhenUsed/>
    <w:qFormat/>
    <w:rsid w:val="00662AC8"/>
    <w:pPr>
      <w:outlineLvl w:val="9"/>
    </w:pPr>
    <w:rPr>
      <w:lang w:val="en-US" w:eastAsia="ja-JP"/>
    </w:rPr>
  </w:style>
  <w:style w:type="paragraph" w:customStyle="1" w:styleId="CoPNumberlevel1">
    <w:name w:val="CoP Number level 1"/>
    <w:basedOn w:val="Style1"/>
    <w:qFormat/>
    <w:rsid w:val="00846FB2"/>
    <w:pPr>
      <w:spacing w:before="240" w:after="120"/>
      <w:ind w:left="680" w:hanging="680"/>
      <w:contextualSpacing w:val="0"/>
    </w:pPr>
  </w:style>
  <w:style w:type="paragraph" w:customStyle="1" w:styleId="CoPNumberlevel2">
    <w:name w:val="CoP Number level 2"/>
    <w:basedOn w:val="Style1"/>
    <w:qFormat/>
    <w:rsid w:val="00846FB2"/>
    <w:pPr>
      <w:numPr>
        <w:ilvl w:val="2"/>
      </w:numPr>
      <w:spacing w:before="120" w:after="240"/>
      <w:ind w:left="1644" w:hanging="964"/>
      <w:contextualSpacing w:val="0"/>
    </w:pPr>
  </w:style>
  <w:style w:type="paragraph" w:styleId="TOC4">
    <w:name w:val="toc 4"/>
    <w:basedOn w:val="Normal"/>
    <w:next w:val="Normal"/>
    <w:autoRedefine/>
    <w:uiPriority w:val="39"/>
    <w:unhideWhenUsed/>
    <w:rsid w:val="00876075"/>
    <w:pPr>
      <w:spacing w:after="0"/>
      <w:ind w:left="660"/>
    </w:pPr>
    <w:rPr>
      <w:sz w:val="20"/>
      <w:szCs w:val="20"/>
    </w:rPr>
  </w:style>
  <w:style w:type="paragraph" w:styleId="TOC5">
    <w:name w:val="toc 5"/>
    <w:basedOn w:val="Normal"/>
    <w:next w:val="Normal"/>
    <w:autoRedefine/>
    <w:uiPriority w:val="39"/>
    <w:unhideWhenUsed/>
    <w:rsid w:val="00876075"/>
    <w:pPr>
      <w:spacing w:after="0"/>
      <w:ind w:left="880"/>
    </w:pPr>
    <w:rPr>
      <w:sz w:val="20"/>
      <w:szCs w:val="20"/>
    </w:rPr>
  </w:style>
  <w:style w:type="paragraph" w:styleId="TOC6">
    <w:name w:val="toc 6"/>
    <w:basedOn w:val="Normal"/>
    <w:next w:val="Normal"/>
    <w:autoRedefine/>
    <w:uiPriority w:val="39"/>
    <w:unhideWhenUsed/>
    <w:rsid w:val="00876075"/>
    <w:pPr>
      <w:spacing w:after="0"/>
      <w:ind w:left="1100"/>
    </w:pPr>
    <w:rPr>
      <w:sz w:val="20"/>
      <w:szCs w:val="20"/>
    </w:rPr>
  </w:style>
  <w:style w:type="paragraph" w:styleId="TOC7">
    <w:name w:val="toc 7"/>
    <w:basedOn w:val="Normal"/>
    <w:next w:val="Normal"/>
    <w:autoRedefine/>
    <w:uiPriority w:val="39"/>
    <w:unhideWhenUsed/>
    <w:rsid w:val="00876075"/>
    <w:pPr>
      <w:spacing w:after="0"/>
      <w:ind w:left="1320"/>
    </w:pPr>
    <w:rPr>
      <w:sz w:val="20"/>
      <w:szCs w:val="20"/>
    </w:rPr>
  </w:style>
  <w:style w:type="paragraph" w:styleId="TOC8">
    <w:name w:val="toc 8"/>
    <w:basedOn w:val="Normal"/>
    <w:next w:val="Normal"/>
    <w:autoRedefine/>
    <w:uiPriority w:val="39"/>
    <w:unhideWhenUsed/>
    <w:rsid w:val="00876075"/>
    <w:pPr>
      <w:spacing w:after="0"/>
      <w:ind w:left="1540"/>
    </w:pPr>
    <w:rPr>
      <w:sz w:val="20"/>
      <w:szCs w:val="20"/>
    </w:rPr>
  </w:style>
  <w:style w:type="paragraph" w:styleId="TOC9">
    <w:name w:val="toc 9"/>
    <w:basedOn w:val="Normal"/>
    <w:next w:val="Normal"/>
    <w:autoRedefine/>
    <w:uiPriority w:val="39"/>
    <w:unhideWhenUsed/>
    <w:rsid w:val="00876075"/>
    <w:pPr>
      <w:spacing w:after="0"/>
      <w:ind w:left="1760"/>
    </w:pPr>
    <w:rPr>
      <w:sz w:val="20"/>
      <w:szCs w:val="20"/>
    </w:rPr>
  </w:style>
  <w:style w:type="paragraph" w:styleId="ListBullet">
    <w:name w:val="List Bullet"/>
    <w:basedOn w:val="Normal"/>
    <w:uiPriority w:val="99"/>
    <w:semiHidden/>
    <w:unhideWhenUsed/>
    <w:rsid w:val="00876075"/>
    <w:pPr>
      <w:numPr>
        <w:numId w:val="5"/>
      </w:numPr>
      <w:contextualSpacing/>
    </w:pPr>
  </w:style>
  <w:style w:type="paragraph" w:customStyle="1" w:styleId="CopVersion2body">
    <w:name w:val="Cop Version 2 body"/>
    <w:basedOn w:val="Normal"/>
    <w:qFormat/>
    <w:rsid w:val="00CD04F2"/>
    <w:pPr>
      <w:autoSpaceDE w:val="0"/>
      <w:autoSpaceDN w:val="0"/>
      <w:adjustRightInd w:val="0"/>
      <w:spacing w:before="120"/>
      <w:jc w:val="both"/>
    </w:pPr>
    <w:rPr>
      <w:rFonts w:ascii="Arial" w:eastAsia="Times New Roman" w:hAnsi="Arial" w:cs="Arial"/>
      <w:color w:val="000000"/>
    </w:rPr>
  </w:style>
  <w:style w:type="paragraph" w:customStyle="1" w:styleId="Style3">
    <w:name w:val="Style3"/>
    <w:basedOn w:val="Style2"/>
    <w:link w:val="Style3Char"/>
    <w:qFormat/>
    <w:rsid w:val="008612B8"/>
    <w:pPr>
      <w:numPr>
        <w:ilvl w:val="0"/>
        <w:numId w:val="0"/>
      </w:numPr>
      <w:autoSpaceDE w:val="0"/>
      <w:autoSpaceDN w:val="0"/>
      <w:adjustRightInd w:val="0"/>
      <w:spacing w:before="200" w:after="200"/>
      <w:ind w:left="1080" w:firstLine="54"/>
      <w:jc w:val="both"/>
    </w:pPr>
    <w:rPr>
      <w:rFonts w:ascii="Arial" w:hAnsi="Arial" w:cs="Arial"/>
      <w:color w:val="000000"/>
      <w:sz w:val="22"/>
      <w:szCs w:val="22"/>
    </w:rPr>
  </w:style>
  <w:style w:type="character" w:customStyle="1" w:styleId="Style2Char">
    <w:name w:val="Style2 Char"/>
    <w:basedOn w:val="DefaultParagraphFont"/>
    <w:link w:val="Style2"/>
    <w:rsid w:val="008612B8"/>
    <w:rPr>
      <w:sz w:val="20"/>
      <w:szCs w:val="20"/>
    </w:rPr>
  </w:style>
  <w:style w:type="paragraph" w:customStyle="1" w:styleId="CoPBody">
    <w:name w:val="CoP Body"/>
    <w:basedOn w:val="Normal"/>
    <w:link w:val="CoPBodyChar"/>
    <w:qFormat/>
    <w:rsid w:val="008612B8"/>
    <w:pPr>
      <w:autoSpaceDE w:val="0"/>
      <w:autoSpaceDN w:val="0"/>
      <w:adjustRightInd w:val="0"/>
      <w:spacing w:before="120"/>
      <w:ind w:left="567"/>
      <w:jc w:val="both"/>
    </w:pPr>
    <w:rPr>
      <w:rFonts w:ascii="Arial" w:hAnsi="Arial" w:cs="Arial"/>
      <w:color w:val="000000"/>
    </w:rPr>
  </w:style>
  <w:style w:type="character" w:customStyle="1" w:styleId="CoPBodyChar">
    <w:name w:val="CoP Body Char"/>
    <w:basedOn w:val="DefaultParagraphFont"/>
    <w:link w:val="CoPBody"/>
    <w:rsid w:val="008612B8"/>
    <w:rPr>
      <w:rFonts w:ascii="Arial" w:hAnsi="Arial" w:cs="Arial"/>
      <w:color w:val="000000"/>
    </w:rPr>
  </w:style>
  <w:style w:type="character" w:customStyle="1" w:styleId="Style3Char">
    <w:name w:val="Style3 Char"/>
    <w:basedOn w:val="Style2Char"/>
    <w:link w:val="Style3"/>
    <w:rsid w:val="008612B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4063">
      <w:bodyDiv w:val="1"/>
      <w:marLeft w:val="0"/>
      <w:marRight w:val="0"/>
      <w:marTop w:val="0"/>
      <w:marBottom w:val="0"/>
      <w:divBdr>
        <w:top w:val="none" w:sz="0" w:space="0" w:color="auto"/>
        <w:left w:val="none" w:sz="0" w:space="0" w:color="auto"/>
        <w:bottom w:val="none" w:sz="0" w:space="0" w:color="auto"/>
        <w:right w:val="none" w:sz="0" w:space="0" w:color="auto"/>
      </w:divBdr>
    </w:div>
    <w:div w:id="433134427">
      <w:bodyDiv w:val="1"/>
      <w:marLeft w:val="0"/>
      <w:marRight w:val="0"/>
      <w:marTop w:val="0"/>
      <w:marBottom w:val="0"/>
      <w:divBdr>
        <w:top w:val="none" w:sz="0" w:space="0" w:color="auto"/>
        <w:left w:val="none" w:sz="0" w:space="0" w:color="auto"/>
        <w:bottom w:val="none" w:sz="0" w:space="0" w:color="auto"/>
        <w:right w:val="none" w:sz="0" w:space="0" w:color="auto"/>
      </w:divBdr>
    </w:div>
    <w:div w:id="1624729206">
      <w:bodyDiv w:val="1"/>
      <w:marLeft w:val="0"/>
      <w:marRight w:val="0"/>
      <w:marTop w:val="0"/>
      <w:marBottom w:val="0"/>
      <w:divBdr>
        <w:top w:val="none" w:sz="0" w:space="0" w:color="auto"/>
        <w:left w:val="none" w:sz="0" w:space="0" w:color="auto"/>
        <w:bottom w:val="none" w:sz="0" w:space="0" w:color="auto"/>
        <w:right w:val="none" w:sz="0" w:space="0" w:color="auto"/>
      </w:divBdr>
      <w:divsChild>
        <w:div w:id="833186282">
          <w:marLeft w:val="0"/>
          <w:marRight w:val="0"/>
          <w:marTop w:val="0"/>
          <w:marBottom w:val="0"/>
          <w:divBdr>
            <w:top w:val="none" w:sz="0" w:space="0" w:color="auto"/>
            <w:left w:val="none" w:sz="0" w:space="0" w:color="auto"/>
            <w:bottom w:val="none" w:sz="0" w:space="0" w:color="auto"/>
            <w:right w:val="none" w:sz="0" w:space="0" w:color="auto"/>
          </w:divBdr>
          <w:divsChild>
            <w:div w:id="1086612318">
              <w:marLeft w:val="0"/>
              <w:marRight w:val="0"/>
              <w:marTop w:val="0"/>
              <w:marBottom w:val="0"/>
              <w:divBdr>
                <w:top w:val="single" w:sz="6" w:space="0" w:color="D9D8D8"/>
                <w:left w:val="none" w:sz="0" w:space="0" w:color="auto"/>
                <w:bottom w:val="none" w:sz="0" w:space="0" w:color="auto"/>
                <w:right w:val="none" w:sz="0" w:space="0" w:color="auto"/>
              </w:divBdr>
              <w:divsChild>
                <w:div w:id="2084059905">
                  <w:marLeft w:val="0"/>
                  <w:marRight w:val="0"/>
                  <w:marTop w:val="0"/>
                  <w:marBottom w:val="0"/>
                  <w:divBdr>
                    <w:top w:val="none" w:sz="0" w:space="0" w:color="auto"/>
                    <w:left w:val="none" w:sz="0" w:space="0" w:color="auto"/>
                    <w:bottom w:val="none" w:sz="0" w:space="0" w:color="auto"/>
                    <w:right w:val="none" w:sz="0" w:space="0" w:color="auto"/>
                  </w:divBdr>
                  <w:divsChild>
                    <w:div w:id="1833449135">
                      <w:marLeft w:val="0"/>
                      <w:marRight w:val="0"/>
                      <w:marTop w:val="0"/>
                      <w:marBottom w:val="0"/>
                      <w:divBdr>
                        <w:top w:val="none" w:sz="0" w:space="0" w:color="auto"/>
                        <w:left w:val="none" w:sz="0" w:space="0" w:color="auto"/>
                        <w:bottom w:val="none" w:sz="0" w:space="0" w:color="auto"/>
                        <w:right w:val="none" w:sz="0" w:space="0" w:color="auto"/>
                      </w:divBdr>
                      <w:divsChild>
                        <w:div w:id="1192720071">
                          <w:marLeft w:val="0"/>
                          <w:marRight w:val="0"/>
                          <w:marTop w:val="0"/>
                          <w:marBottom w:val="0"/>
                          <w:divBdr>
                            <w:top w:val="none" w:sz="0" w:space="0" w:color="auto"/>
                            <w:left w:val="none" w:sz="0" w:space="0" w:color="auto"/>
                            <w:bottom w:val="none" w:sz="0" w:space="0" w:color="auto"/>
                            <w:right w:val="none" w:sz="0" w:space="0" w:color="auto"/>
                          </w:divBdr>
                          <w:divsChild>
                            <w:div w:id="809715105">
                              <w:marLeft w:val="0"/>
                              <w:marRight w:val="0"/>
                              <w:marTop w:val="0"/>
                              <w:marBottom w:val="0"/>
                              <w:divBdr>
                                <w:top w:val="none" w:sz="0" w:space="0" w:color="auto"/>
                                <w:left w:val="none" w:sz="0" w:space="0" w:color="auto"/>
                                <w:bottom w:val="none" w:sz="0" w:space="0" w:color="auto"/>
                                <w:right w:val="none" w:sz="0" w:space="0" w:color="auto"/>
                              </w:divBdr>
                              <w:divsChild>
                                <w:div w:id="2110419910">
                                  <w:marLeft w:val="0"/>
                                  <w:marRight w:val="0"/>
                                  <w:marTop w:val="0"/>
                                  <w:marBottom w:val="0"/>
                                  <w:divBdr>
                                    <w:top w:val="none" w:sz="0" w:space="0" w:color="auto"/>
                                    <w:left w:val="none" w:sz="0" w:space="0" w:color="auto"/>
                                    <w:bottom w:val="none" w:sz="0" w:space="0" w:color="auto"/>
                                    <w:right w:val="none" w:sz="0" w:space="0" w:color="auto"/>
                                  </w:divBdr>
                                  <w:divsChild>
                                    <w:div w:id="241834129">
                                      <w:marLeft w:val="0"/>
                                      <w:marRight w:val="0"/>
                                      <w:marTop w:val="100"/>
                                      <w:marBottom w:val="100"/>
                                      <w:divBdr>
                                        <w:top w:val="none" w:sz="0" w:space="0" w:color="auto"/>
                                        <w:left w:val="none" w:sz="0" w:space="0" w:color="auto"/>
                                        <w:bottom w:val="none" w:sz="0" w:space="0" w:color="auto"/>
                                        <w:right w:val="none" w:sz="0" w:space="0" w:color="auto"/>
                                      </w:divBdr>
                                      <w:divsChild>
                                        <w:div w:id="1382904824">
                                          <w:marLeft w:val="0"/>
                                          <w:marRight w:val="0"/>
                                          <w:marTop w:val="120"/>
                                          <w:marBottom w:val="0"/>
                                          <w:divBdr>
                                            <w:top w:val="none" w:sz="0" w:space="0" w:color="auto"/>
                                            <w:left w:val="none" w:sz="0" w:space="0" w:color="auto"/>
                                            <w:bottom w:val="none" w:sz="0" w:space="0" w:color="auto"/>
                                            <w:right w:val="none" w:sz="0" w:space="0" w:color="auto"/>
                                          </w:divBdr>
                                          <w:divsChild>
                                            <w:div w:id="1718163636">
                                              <w:marLeft w:val="0"/>
                                              <w:marRight w:val="0"/>
                                              <w:marTop w:val="0"/>
                                              <w:marBottom w:val="0"/>
                                              <w:divBdr>
                                                <w:top w:val="none" w:sz="0" w:space="0" w:color="auto"/>
                                                <w:left w:val="none" w:sz="0" w:space="0" w:color="auto"/>
                                                <w:bottom w:val="none" w:sz="0" w:space="0" w:color="auto"/>
                                                <w:right w:val="none" w:sz="0" w:space="0" w:color="auto"/>
                                              </w:divBdr>
                                              <w:divsChild>
                                                <w:div w:id="21018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22247">
      <w:bodyDiv w:val="1"/>
      <w:marLeft w:val="0"/>
      <w:marRight w:val="0"/>
      <w:marTop w:val="0"/>
      <w:marBottom w:val="0"/>
      <w:divBdr>
        <w:top w:val="none" w:sz="0" w:space="0" w:color="auto"/>
        <w:left w:val="none" w:sz="0" w:space="0" w:color="auto"/>
        <w:bottom w:val="none" w:sz="0" w:space="0" w:color="auto"/>
        <w:right w:val="none" w:sz="0" w:space="0" w:color="auto"/>
      </w:divBdr>
      <w:divsChild>
        <w:div w:id="1906139345">
          <w:marLeft w:val="0"/>
          <w:marRight w:val="0"/>
          <w:marTop w:val="0"/>
          <w:marBottom w:val="0"/>
          <w:divBdr>
            <w:top w:val="none" w:sz="0" w:space="0" w:color="auto"/>
            <w:left w:val="none" w:sz="0" w:space="0" w:color="auto"/>
            <w:bottom w:val="none" w:sz="0" w:space="0" w:color="auto"/>
            <w:right w:val="none" w:sz="0" w:space="0" w:color="auto"/>
          </w:divBdr>
          <w:divsChild>
            <w:div w:id="1860239960">
              <w:marLeft w:val="0"/>
              <w:marRight w:val="0"/>
              <w:marTop w:val="0"/>
              <w:marBottom w:val="0"/>
              <w:divBdr>
                <w:top w:val="single" w:sz="6" w:space="0" w:color="D9D8D8"/>
                <w:left w:val="none" w:sz="0" w:space="0" w:color="auto"/>
                <w:bottom w:val="none" w:sz="0" w:space="0" w:color="auto"/>
                <w:right w:val="none" w:sz="0" w:space="0" w:color="auto"/>
              </w:divBdr>
              <w:divsChild>
                <w:div w:id="822041229">
                  <w:marLeft w:val="0"/>
                  <w:marRight w:val="0"/>
                  <w:marTop w:val="0"/>
                  <w:marBottom w:val="0"/>
                  <w:divBdr>
                    <w:top w:val="none" w:sz="0" w:space="0" w:color="auto"/>
                    <w:left w:val="none" w:sz="0" w:space="0" w:color="auto"/>
                    <w:bottom w:val="none" w:sz="0" w:space="0" w:color="auto"/>
                    <w:right w:val="none" w:sz="0" w:space="0" w:color="auto"/>
                  </w:divBdr>
                  <w:divsChild>
                    <w:div w:id="1835490578">
                      <w:marLeft w:val="0"/>
                      <w:marRight w:val="0"/>
                      <w:marTop w:val="0"/>
                      <w:marBottom w:val="0"/>
                      <w:divBdr>
                        <w:top w:val="none" w:sz="0" w:space="0" w:color="auto"/>
                        <w:left w:val="none" w:sz="0" w:space="0" w:color="auto"/>
                        <w:bottom w:val="none" w:sz="0" w:space="0" w:color="auto"/>
                        <w:right w:val="none" w:sz="0" w:space="0" w:color="auto"/>
                      </w:divBdr>
                      <w:divsChild>
                        <w:div w:id="680009012">
                          <w:marLeft w:val="0"/>
                          <w:marRight w:val="0"/>
                          <w:marTop w:val="0"/>
                          <w:marBottom w:val="0"/>
                          <w:divBdr>
                            <w:top w:val="none" w:sz="0" w:space="0" w:color="auto"/>
                            <w:left w:val="none" w:sz="0" w:space="0" w:color="auto"/>
                            <w:bottom w:val="none" w:sz="0" w:space="0" w:color="auto"/>
                            <w:right w:val="none" w:sz="0" w:space="0" w:color="auto"/>
                          </w:divBdr>
                          <w:divsChild>
                            <w:div w:id="1189563745">
                              <w:marLeft w:val="0"/>
                              <w:marRight w:val="0"/>
                              <w:marTop w:val="0"/>
                              <w:marBottom w:val="0"/>
                              <w:divBdr>
                                <w:top w:val="none" w:sz="0" w:space="0" w:color="auto"/>
                                <w:left w:val="none" w:sz="0" w:space="0" w:color="auto"/>
                                <w:bottom w:val="none" w:sz="0" w:space="0" w:color="auto"/>
                                <w:right w:val="none" w:sz="0" w:space="0" w:color="auto"/>
                              </w:divBdr>
                              <w:divsChild>
                                <w:div w:id="419763480">
                                  <w:marLeft w:val="0"/>
                                  <w:marRight w:val="0"/>
                                  <w:marTop w:val="0"/>
                                  <w:marBottom w:val="0"/>
                                  <w:divBdr>
                                    <w:top w:val="none" w:sz="0" w:space="0" w:color="auto"/>
                                    <w:left w:val="none" w:sz="0" w:space="0" w:color="auto"/>
                                    <w:bottom w:val="none" w:sz="0" w:space="0" w:color="auto"/>
                                    <w:right w:val="none" w:sz="0" w:space="0" w:color="auto"/>
                                  </w:divBdr>
                                  <w:divsChild>
                                    <w:div w:id="708645132">
                                      <w:marLeft w:val="0"/>
                                      <w:marRight w:val="0"/>
                                      <w:marTop w:val="100"/>
                                      <w:marBottom w:val="100"/>
                                      <w:divBdr>
                                        <w:top w:val="none" w:sz="0" w:space="0" w:color="auto"/>
                                        <w:left w:val="none" w:sz="0" w:space="0" w:color="auto"/>
                                        <w:bottom w:val="none" w:sz="0" w:space="0" w:color="auto"/>
                                        <w:right w:val="none" w:sz="0" w:space="0" w:color="auto"/>
                                      </w:divBdr>
                                      <w:divsChild>
                                        <w:div w:id="376203603">
                                          <w:marLeft w:val="0"/>
                                          <w:marRight w:val="0"/>
                                          <w:marTop w:val="120"/>
                                          <w:marBottom w:val="0"/>
                                          <w:divBdr>
                                            <w:top w:val="none" w:sz="0" w:space="0" w:color="auto"/>
                                            <w:left w:val="none" w:sz="0" w:space="0" w:color="auto"/>
                                            <w:bottom w:val="none" w:sz="0" w:space="0" w:color="auto"/>
                                            <w:right w:val="none" w:sz="0" w:space="0" w:color="auto"/>
                                          </w:divBdr>
                                          <w:divsChild>
                                            <w:div w:id="948202494">
                                              <w:marLeft w:val="0"/>
                                              <w:marRight w:val="0"/>
                                              <w:marTop w:val="0"/>
                                              <w:marBottom w:val="0"/>
                                              <w:divBdr>
                                                <w:top w:val="none" w:sz="0" w:space="0" w:color="auto"/>
                                                <w:left w:val="none" w:sz="0" w:space="0" w:color="auto"/>
                                                <w:bottom w:val="none" w:sz="0" w:space="0" w:color="auto"/>
                                                <w:right w:val="none" w:sz="0" w:space="0" w:color="auto"/>
                                              </w:divBdr>
                                              <w:divsChild>
                                                <w:div w:id="9114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043900">
      <w:bodyDiv w:val="1"/>
      <w:marLeft w:val="0"/>
      <w:marRight w:val="0"/>
      <w:marTop w:val="0"/>
      <w:marBottom w:val="0"/>
      <w:divBdr>
        <w:top w:val="none" w:sz="0" w:space="0" w:color="auto"/>
        <w:left w:val="none" w:sz="0" w:space="0" w:color="auto"/>
        <w:bottom w:val="none" w:sz="0" w:space="0" w:color="auto"/>
        <w:right w:val="none" w:sz="0" w:space="0" w:color="auto"/>
      </w:divBdr>
      <w:divsChild>
        <w:div w:id="1996182310">
          <w:marLeft w:val="0"/>
          <w:marRight w:val="0"/>
          <w:marTop w:val="0"/>
          <w:marBottom w:val="0"/>
          <w:divBdr>
            <w:top w:val="none" w:sz="0" w:space="0" w:color="auto"/>
            <w:left w:val="none" w:sz="0" w:space="0" w:color="auto"/>
            <w:bottom w:val="none" w:sz="0" w:space="0" w:color="auto"/>
            <w:right w:val="none" w:sz="0" w:space="0" w:color="auto"/>
          </w:divBdr>
          <w:divsChild>
            <w:div w:id="104545431">
              <w:marLeft w:val="0"/>
              <w:marRight w:val="0"/>
              <w:marTop w:val="0"/>
              <w:marBottom w:val="0"/>
              <w:divBdr>
                <w:top w:val="single" w:sz="6" w:space="0" w:color="D9D8D8"/>
                <w:left w:val="none" w:sz="0" w:space="0" w:color="auto"/>
                <w:bottom w:val="none" w:sz="0" w:space="0" w:color="auto"/>
                <w:right w:val="none" w:sz="0" w:space="0" w:color="auto"/>
              </w:divBdr>
              <w:divsChild>
                <w:div w:id="1418405797">
                  <w:marLeft w:val="0"/>
                  <w:marRight w:val="0"/>
                  <w:marTop w:val="0"/>
                  <w:marBottom w:val="0"/>
                  <w:divBdr>
                    <w:top w:val="none" w:sz="0" w:space="0" w:color="auto"/>
                    <w:left w:val="none" w:sz="0" w:space="0" w:color="auto"/>
                    <w:bottom w:val="none" w:sz="0" w:space="0" w:color="auto"/>
                    <w:right w:val="none" w:sz="0" w:space="0" w:color="auto"/>
                  </w:divBdr>
                  <w:divsChild>
                    <w:div w:id="167406481">
                      <w:marLeft w:val="0"/>
                      <w:marRight w:val="0"/>
                      <w:marTop w:val="0"/>
                      <w:marBottom w:val="0"/>
                      <w:divBdr>
                        <w:top w:val="none" w:sz="0" w:space="0" w:color="auto"/>
                        <w:left w:val="none" w:sz="0" w:space="0" w:color="auto"/>
                        <w:bottom w:val="none" w:sz="0" w:space="0" w:color="auto"/>
                        <w:right w:val="none" w:sz="0" w:space="0" w:color="auto"/>
                      </w:divBdr>
                      <w:divsChild>
                        <w:div w:id="1818061745">
                          <w:marLeft w:val="0"/>
                          <w:marRight w:val="0"/>
                          <w:marTop w:val="0"/>
                          <w:marBottom w:val="0"/>
                          <w:divBdr>
                            <w:top w:val="none" w:sz="0" w:space="0" w:color="auto"/>
                            <w:left w:val="none" w:sz="0" w:space="0" w:color="auto"/>
                            <w:bottom w:val="none" w:sz="0" w:space="0" w:color="auto"/>
                            <w:right w:val="none" w:sz="0" w:space="0" w:color="auto"/>
                          </w:divBdr>
                          <w:divsChild>
                            <w:div w:id="239680842">
                              <w:marLeft w:val="0"/>
                              <w:marRight w:val="0"/>
                              <w:marTop w:val="0"/>
                              <w:marBottom w:val="0"/>
                              <w:divBdr>
                                <w:top w:val="none" w:sz="0" w:space="0" w:color="auto"/>
                                <w:left w:val="none" w:sz="0" w:space="0" w:color="auto"/>
                                <w:bottom w:val="none" w:sz="0" w:space="0" w:color="auto"/>
                                <w:right w:val="none" w:sz="0" w:space="0" w:color="auto"/>
                              </w:divBdr>
                              <w:divsChild>
                                <w:div w:id="1639383290">
                                  <w:marLeft w:val="0"/>
                                  <w:marRight w:val="0"/>
                                  <w:marTop w:val="0"/>
                                  <w:marBottom w:val="0"/>
                                  <w:divBdr>
                                    <w:top w:val="none" w:sz="0" w:space="0" w:color="auto"/>
                                    <w:left w:val="none" w:sz="0" w:space="0" w:color="auto"/>
                                    <w:bottom w:val="none" w:sz="0" w:space="0" w:color="auto"/>
                                    <w:right w:val="none" w:sz="0" w:space="0" w:color="auto"/>
                                  </w:divBdr>
                                  <w:divsChild>
                                    <w:div w:id="877356172">
                                      <w:marLeft w:val="0"/>
                                      <w:marRight w:val="0"/>
                                      <w:marTop w:val="100"/>
                                      <w:marBottom w:val="100"/>
                                      <w:divBdr>
                                        <w:top w:val="none" w:sz="0" w:space="0" w:color="auto"/>
                                        <w:left w:val="none" w:sz="0" w:space="0" w:color="auto"/>
                                        <w:bottom w:val="none" w:sz="0" w:space="0" w:color="auto"/>
                                        <w:right w:val="none" w:sz="0" w:space="0" w:color="auto"/>
                                      </w:divBdr>
                                      <w:divsChild>
                                        <w:div w:id="1490753726">
                                          <w:marLeft w:val="0"/>
                                          <w:marRight w:val="0"/>
                                          <w:marTop w:val="120"/>
                                          <w:marBottom w:val="0"/>
                                          <w:divBdr>
                                            <w:top w:val="none" w:sz="0" w:space="0" w:color="auto"/>
                                            <w:left w:val="none" w:sz="0" w:space="0" w:color="auto"/>
                                            <w:bottom w:val="none" w:sz="0" w:space="0" w:color="auto"/>
                                            <w:right w:val="none" w:sz="0" w:space="0" w:color="auto"/>
                                          </w:divBdr>
                                          <w:divsChild>
                                            <w:div w:id="1253006905">
                                              <w:marLeft w:val="0"/>
                                              <w:marRight w:val="0"/>
                                              <w:marTop w:val="0"/>
                                              <w:marBottom w:val="0"/>
                                              <w:divBdr>
                                                <w:top w:val="none" w:sz="0" w:space="0" w:color="auto"/>
                                                <w:left w:val="none" w:sz="0" w:space="0" w:color="auto"/>
                                                <w:bottom w:val="none" w:sz="0" w:space="0" w:color="auto"/>
                                                <w:right w:val="none" w:sz="0" w:space="0" w:color="auto"/>
                                              </w:divBdr>
                                              <w:divsChild>
                                                <w:div w:id="1693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3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isher\AppData\Roaming\Microsoft\Templates\C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40E8-7B2D-4000-90C6-71A0245E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 Template</Template>
  <TotalTime>14</TotalTime>
  <Pages>8</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jfisher</dc:creator>
  <cp:lastModifiedBy>Ruth Pollard</cp:lastModifiedBy>
  <cp:revision>3</cp:revision>
  <cp:lastPrinted>2017-10-27T15:45:00Z</cp:lastPrinted>
  <dcterms:created xsi:type="dcterms:W3CDTF">2019-01-21T10:13:00Z</dcterms:created>
  <dcterms:modified xsi:type="dcterms:W3CDTF">2019-01-29T16:47:00Z</dcterms:modified>
</cp:coreProperties>
</file>