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90" w:type="pct"/>
        <w:jc w:val="center"/>
        <w:tblLook w:val="04A0" w:firstRow="1" w:lastRow="0" w:firstColumn="1" w:lastColumn="0" w:noHBand="0" w:noVBand="1"/>
      </w:tblPr>
      <w:tblGrid>
        <w:gridCol w:w="9527"/>
      </w:tblGrid>
      <w:tr w:rsidR="00ED4A53" w:rsidTr="00D80CCF">
        <w:trPr>
          <w:trHeight w:val="1984"/>
          <w:jc w:val="center"/>
        </w:trPr>
        <w:tc>
          <w:tcPr>
            <w:tcW w:w="5000" w:type="pct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ED4A53" w:rsidRPr="00664532" w:rsidRDefault="00753103" w:rsidP="0066453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6B7BDD" wp14:editId="5F4072A5">
                  <wp:simplePos x="0" y="0"/>
                  <wp:positionH relativeFrom="margin">
                    <wp:posOffset>4482465</wp:posOffset>
                  </wp:positionH>
                  <wp:positionV relativeFrom="margin">
                    <wp:posOffset>97155</wp:posOffset>
                  </wp:positionV>
                  <wp:extent cx="1396854" cy="1080000"/>
                  <wp:effectExtent l="0" t="0" r="0" b="6350"/>
                  <wp:wrapNone/>
                  <wp:docPr id="1" name="Picture 1" descr="small LSTM%203%20colour%20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LSTM%203%20colour%20positiv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85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4A53" w:rsidRPr="00A7754F" w:rsidTr="00D80CCF">
        <w:trPr>
          <w:trHeight w:val="3514"/>
          <w:jc w:val="center"/>
        </w:trPr>
        <w:tc>
          <w:tcPr>
            <w:tcW w:w="5000" w:type="pct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D80CCF" w:rsidRPr="00685809" w:rsidRDefault="00C659A9" w:rsidP="00D80CCF">
            <w:pPr>
              <w:pStyle w:val="CoPNumberlevel1"/>
              <w:ind w:left="34"/>
              <w:rPr>
                <w:b/>
                <w:sz w:val="66"/>
                <w:szCs w:val="66"/>
              </w:rPr>
            </w:pPr>
            <w:r w:rsidRPr="00685809">
              <w:rPr>
                <w:b/>
                <w:sz w:val="66"/>
                <w:szCs w:val="66"/>
              </w:rPr>
              <w:t xml:space="preserve">Code of Practice on </w:t>
            </w:r>
            <w:r w:rsidR="00664532" w:rsidRPr="00685809">
              <w:rPr>
                <w:b/>
                <w:sz w:val="66"/>
                <w:szCs w:val="66"/>
              </w:rPr>
              <w:t>the Design, A</w:t>
            </w:r>
            <w:r w:rsidR="00662BFE" w:rsidRPr="00685809">
              <w:rPr>
                <w:b/>
                <w:sz w:val="66"/>
                <w:szCs w:val="66"/>
              </w:rPr>
              <w:t xml:space="preserve">pproval, </w:t>
            </w:r>
            <w:r w:rsidR="00664532" w:rsidRPr="00685809">
              <w:rPr>
                <w:b/>
                <w:sz w:val="66"/>
                <w:szCs w:val="66"/>
              </w:rPr>
              <w:t>Monitoring and R</w:t>
            </w:r>
            <w:r w:rsidR="00D3300C" w:rsidRPr="00685809">
              <w:rPr>
                <w:b/>
                <w:sz w:val="66"/>
                <w:szCs w:val="66"/>
              </w:rPr>
              <w:t>eview</w:t>
            </w:r>
            <w:r w:rsidR="00664532" w:rsidRPr="00685809">
              <w:rPr>
                <w:b/>
                <w:sz w:val="66"/>
                <w:szCs w:val="66"/>
              </w:rPr>
              <w:t xml:space="preserve"> of Taught P</w:t>
            </w:r>
            <w:r w:rsidR="00662BFE" w:rsidRPr="00685809">
              <w:rPr>
                <w:b/>
                <w:sz w:val="66"/>
                <w:szCs w:val="66"/>
              </w:rPr>
              <w:t>rogrammes</w:t>
            </w:r>
          </w:p>
        </w:tc>
      </w:tr>
      <w:tr w:rsidR="00ED4A53" w:rsidTr="00D80CCF">
        <w:trPr>
          <w:trHeight w:val="3758"/>
          <w:jc w:val="center"/>
        </w:trPr>
        <w:tc>
          <w:tcPr>
            <w:tcW w:w="5000" w:type="pct"/>
            <w:tcBorders>
              <w:top w:val="single" w:sz="6" w:space="0" w:color="943634" w:themeColor="accent2" w:themeShade="BF"/>
              <w:bottom w:val="single" w:sz="6" w:space="0" w:color="943634" w:themeColor="accent2" w:themeShade="BF"/>
            </w:tcBorders>
            <w:vAlign w:val="center"/>
          </w:tcPr>
          <w:p w:rsidR="00D80CCF" w:rsidRDefault="00D80CCF"/>
          <w:tbl>
            <w:tblPr>
              <w:tblpPr w:leftFromText="181" w:rightFromText="181" w:vertAnchor="page" w:horzAnchor="margin" w:tblpY="1"/>
              <w:tblOverlap w:val="never"/>
              <w:tblW w:w="9302" w:type="dxa"/>
              <w:tblBorders>
                <w:top w:val="single" w:sz="4" w:space="0" w:color="943634" w:themeColor="accent2" w:themeShade="BF"/>
                <w:left w:val="single" w:sz="4" w:space="0" w:color="943634" w:themeColor="accent2" w:themeShade="BF"/>
                <w:bottom w:val="single" w:sz="4" w:space="0" w:color="943634" w:themeColor="accent2" w:themeShade="BF"/>
                <w:right w:val="single" w:sz="4" w:space="0" w:color="943634" w:themeColor="accent2" w:themeShade="BF"/>
                <w:insideH w:val="single" w:sz="4" w:space="0" w:color="943634" w:themeColor="accent2" w:themeShade="BF"/>
                <w:insideV w:val="single" w:sz="4" w:space="0" w:color="943634" w:themeColor="accent2" w:themeShade="BF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5049"/>
            </w:tblGrid>
            <w:tr w:rsidR="00D80CCF" w:rsidRPr="004C4556" w:rsidTr="00D80CCF">
              <w:trPr>
                <w:trHeight w:val="309"/>
              </w:trPr>
              <w:tc>
                <w:tcPr>
                  <w:tcW w:w="2286" w:type="pct"/>
                  <w:tcBorders>
                    <w:top w:val="nil"/>
                    <w:left w:val="nil"/>
                    <w:bottom w:val="single" w:sz="4" w:space="0" w:color="990000"/>
                    <w:right w:val="nil"/>
                  </w:tcBorders>
                  <w:vAlign w:val="center"/>
                </w:tcPr>
                <w:p w:rsidR="00D80CCF" w:rsidRPr="00A636A4" w:rsidRDefault="00D80CCF" w:rsidP="00A04D16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14" w:type="pct"/>
                  <w:tcBorders>
                    <w:top w:val="nil"/>
                    <w:left w:val="nil"/>
                    <w:bottom w:val="single" w:sz="4" w:space="0" w:color="990000"/>
                    <w:right w:val="nil"/>
                  </w:tcBorders>
                  <w:vAlign w:val="center"/>
                </w:tcPr>
                <w:p w:rsidR="00D80CCF" w:rsidRDefault="00D80CCF" w:rsidP="00664532">
                  <w:pPr>
                    <w:pStyle w:val="NoSpacing"/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A04D16" w:rsidRPr="004C4556" w:rsidTr="00D80CCF">
              <w:trPr>
                <w:trHeight w:val="309"/>
              </w:trPr>
              <w:tc>
                <w:tcPr>
                  <w:tcW w:w="2286" w:type="pct"/>
                  <w:tcBorders>
                    <w:top w:val="single" w:sz="4" w:space="0" w:color="990000"/>
                  </w:tcBorders>
                  <w:vAlign w:val="center"/>
                  <w:hideMark/>
                </w:tcPr>
                <w:p w:rsidR="00A04D16" w:rsidRPr="00A636A4" w:rsidRDefault="00A04D16" w:rsidP="00A04D16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A636A4">
                    <w:rPr>
                      <w:rFonts w:ascii="Arial" w:hAnsi="Arial" w:cs="Arial"/>
                      <w:b/>
                    </w:rPr>
                    <w:t>Code of Practice number</w:t>
                  </w:r>
                </w:p>
              </w:tc>
              <w:tc>
                <w:tcPr>
                  <w:tcW w:w="2714" w:type="pct"/>
                  <w:tcBorders>
                    <w:top w:val="single" w:sz="4" w:space="0" w:color="990000"/>
                  </w:tcBorders>
                  <w:vAlign w:val="center"/>
                  <w:hideMark/>
                </w:tcPr>
                <w:p w:rsidR="00A04D16" w:rsidRPr="00A636A4" w:rsidRDefault="0030750C" w:rsidP="00664532">
                  <w:pPr>
                    <w:pStyle w:val="NoSpacing"/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LT CO</w:t>
                  </w:r>
                  <w:r w:rsidR="00664532">
                    <w:rPr>
                      <w:rFonts w:ascii="Arial" w:hAnsi="Arial" w:cs="Arial"/>
                    </w:rPr>
                    <w:t>P</w:t>
                  </w:r>
                  <w:r>
                    <w:rPr>
                      <w:rFonts w:ascii="Arial" w:hAnsi="Arial" w:cs="Arial"/>
                    </w:rPr>
                    <w:t xml:space="preserve"> 0</w:t>
                  </w:r>
                  <w:r w:rsidR="00664532">
                    <w:rPr>
                      <w:rFonts w:ascii="Arial" w:hAnsi="Arial" w:cs="Arial"/>
                    </w:rPr>
                    <w:t>8</w:t>
                  </w:r>
                </w:p>
              </w:tc>
            </w:tr>
            <w:tr w:rsidR="00A04D16" w:rsidRPr="004C4556" w:rsidTr="00664532">
              <w:trPr>
                <w:trHeight w:val="309"/>
              </w:trPr>
              <w:tc>
                <w:tcPr>
                  <w:tcW w:w="2286" w:type="pct"/>
                  <w:vAlign w:val="center"/>
                </w:tcPr>
                <w:p w:rsidR="00A04D16" w:rsidRPr="00A636A4" w:rsidRDefault="00A04D16" w:rsidP="00A04D16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A636A4">
                    <w:rPr>
                      <w:rFonts w:ascii="Arial" w:hAnsi="Arial" w:cs="Arial"/>
                      <w:b/>
                    </w:rPr>
                    <w:t>Version:</w:t>
                  </w:r>
                </w:p>
              </w:tc>
              <w:tc>
                <w:tcPr>
                  <w:tcW w:w="2714" w:type="pct"/>
                  <w:vAlign w:val="center"/>
                </w:tcPr>
                <w:p w:rsidR="00A04D16" w:rsidRPr="00A636A4" w:rsidRDefault="000A3EC5" w:rsidP="001E4C19">
                  <w:pPr>
                    <w:pStyle w:val="NoSpacing"/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2.1</w:t>
                  </w:r>
                </w:p>
              </w:tc>
            </w:tr>
            <w:tr w:rsidR="00A04D16" w:rsidRPr="004C4556" w:rsidTr="00664532">
              <w:trPr>
                <w:trHeight w:val="309"/>
              </w:trPr>
              <w:tc>
                <w:tcPr>
                  <w:tcW w:w="2286" w:type="pct"/>
                  <w:vAlign w:val="center"/>
                </w:tcPr>
                <w:p w:rsidR="00A04D16" w:rsidRPr="00A636A4" w:rsidRDefault="00A04D16" w:rsidP="00A04D16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A636A4">
                    <w:rPr>
                      <w:rFonts w:ascii="Arial" w:hAnsi="Arial" w:cs="Arial"/>
                      <w:b/>
                      <w:bCs/>
                      <w:lang w:eastAsia="en-GB"/>
                    </w:rPr>
                    <w:t>Superseded Version:</w:t>
                  </w:r>
                </w:p>
              </w:tc>
              <w:tc>
                <w:tcPr>
                  <w:tcW w:w="2714" w:type="pct"/>
                  <w:vAlign w:val="center"/>
                </w:tcPr>
                <w:p w:rsidR="00A04D16" w:rsidRPr="00A636A4" w:rsidRDefault="00664532" w:rsidP="001E4C19">
                  <w:pPr>
                    <w:pStyle w:val="NoSpacing"/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5E709A">
                    <w:rPr>
                      <w:rFonts w:ascii="Arial" w:hAnsi="Arial" w:cs="Arial"/>
                    </w:rPr>
                    <w:t>.</w:t>
                  </w:r>
                  <w:r w:rsidR="000A3EC5"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A04D16" w:rsidRPr="004C4556" w:rsidTr="00664532">
              <w:trPr>
                <w:trHeight w:val="309"/>
              </w:trPr>
              <w:tc>
                <w:tcPr>
                  <w:tcW w:w="2286" w:type="pct"/>
                  <w:vAlign w:val="center"/>
                </w:tcPr>
                <w:p w:rsidR="00A04D16" w:rsidRPr="00A636A4" w:rsidRDefault="00A04D16" w:rsidP="00A04D16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A636A4">
                    <w:rPr>
                      <w:rFonts w:ascii="Arial" w:hAnsi="Arial" w:cs="Arial"/>
                      <w:b/>
                    </w:rPr>
                    <w:t>Date approved by Management Committee</w:t>
                  </w:r>
                </w:p>
              </w:tc>
              <w:tc>
                <w:tcPr>
                  <w:tcW w:w="2714" w:type="pct"/>
                  <w:vAlign w:val="center"/>
                </w:tcPr>
                <w:p w:rsidR="00A04D16" w:rsidRPr="00A636A4" w:rsidRDefault="00664532" w:rsidP="005E709A">
                  <w:pPr>
                    <w:pStyle w:val="NoSpacing"/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V1.0 approved 28.01.15</w:t>
                  </w:r>
                </w:p>
              </w:tc>
            </w:tr>
            <w:tr w:rsidR="00A04D16" w:rsidRPr="004C4556" w:rsidTr="00664532">
              <w:trPr>
                <w:trHeight w:val="309"/>
              </w:trPr>
              <w:tc>
                <w:tcPr>
                  <w:tcW w:w="2286" w:type="pct"/>
                  <w:vAlign w:val="center"/>
                </w:tcPr>
                <w:p w:rsidR="00A04D16" w:rsidRPr="00A636A4" w:rsidRDefault="00A04D16" w:rsidP="00A04D16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  <w:bCs/>
                      <w:lang w:eastAsia="en-GB"/>
                    </w:rPr>
                  </w:pPr>
                  <w:r w:rsidRPr="00A636A4">
                    <w:rPr>
                      <w:rFonts w:ascii="Arial" w:hAnsi="Arial" w:cs="Arial"/>
                      <w:b/>
                      <w:bCs/>
                      <w:lang w:eastAsia="en-GB"/>
                    </w:rPr>
                    <w:t>Originator</w:t>
                  </w:r>
                </w:p>
              </w:tc>
              <w:tc>
                <w:tcPr>
                  <w:tcW w:w="2714" w:type="pct"/>
                  <w:vAlign w:val="center"/>
                </w:tcPr>
                <w:p w:rsidR="00A04D16" w:rsidRPr="00A636A4" w:rsidRDefault="00A04D16" w:rsidP="00A04D16">
                  <w:pPr>
                    <w:pStyle w:val="NoSpacing"/>
                    <w:spacing w:before="120" w:after="120"/>
                    <w:rPr>
                      <w:rFonts w:ascii="Arial" w:hAnsi="Arial" w:cs="Arial"/>
                    </w:rPr>
                  </w:pPr>
                  <w:r w:rsidRPr="00A636A4">
                    <w:rPr>
                      <w:rFonts w:ascii="Arial" w:hAnsi="Arial" w:cs="Arial"/>
                    </w:rPr>
                    <w:t>Academic Registrar</w:t>
                  </w:r>
                </w:p>
              </w:tc>
            </w:tr>
            <w:tr w:rsidR="00A04D16" w:rsidRPr="004C4556" w:rsidTr="00664532">
              <w:trPr>
                <w:trHeight w:val="309"/>
              </w:trPr>
              <w:tc>
                <w:tcPr>
                  <w:tcW w:w="2286" w:type="pct"/>
                  <w:vAlign w:val="center"/>
                </w:tcPr>
                <w:p w:rsidR="00A04D16" w:rsidRPr="00A636A4" w:rsidRDefault="00A04D16" w:rsidP="00A04D16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</w:rPr>
                  </w:pPr>
                  <w:r w:rsidRPr="00A636A4">
                    <w:rPr>
                      <w:rFonts w:ascii="Arial" w:hAnsi="Arial" w:cs="Arial"/>
                      <w:b/>
                    </w:rPr>
                    <w:t>Date for Review:</w:t>
                  </w:r>
                </w:p>
              </w:tc>
              <w:tc>
                <w:tcPr>
                  <w:tcW w:w="2714" w:type="pct"/>
                  <w:vAlign w:val="center"/>
                </w:tcPr>
                <w:p w:rsidR="00A04D16" w:rsidRPr="00A636A4" w:rsidRDefault="00664532" w:rsidP="002B61B6">
                  <w:pPr>
                    <w:pStyle w:val="NoSpacing"/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</w:t>
                  </w:r>
                  <w:r w:rsidR="002B0F12">
                    <w:rPr>
                      <w:rFonts w:ascii="Arial" w:hAnsi="Arial" w:cs="Arial"/>
                    </w:rPr>
                    <w:t>uly</w:t>
                  </w:r>
                  <w:r w:rsidR="00E5273B">
                    <w:rPr>
                      <w:rFonts w:ascii="Arial" w:hAnsi="Arial" w:cs="Arial"/>
                    </w:rPr>
                    <w:t xml:space="preserve"> 201</w:t>
                  </w:r>
                  <w:r w:rsidR="004B6C34">
                    <w:rPr>
                      <w:rFonts w:ascii="Arial" w:hAnsi="Arial" w:cs="Arial"/>
                    </w:rPr>
                    <w:t>9</w:t>
                  </w:r>
                </w:p>
              </w:tc>
            </w:tr>
          </w:tbl>
          <w:p w:rsidR="00ED4A53" w:rsidRPr="004C4556" w:rsidRDefault="00ED4A53" w:rsidP="00CA5861">
            <w:pPr>
              <w:pStyle w:val="NoSpacing"/>
              <w:ind w:right="-16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4A53" w:rsidTr="00D80CCF">
        <w:trPr>
          <w:trHeight w:val="1247"/>
          <w:jc w:val="center"/>
        </w:trPr>
        <w:tc>
          <w:tcPr>
            <w:tcW w:w="5000" w:type="pct"/>
            <w:tcBorders>
              <w:top w:val="single" w:sz="6" w:space="0" w:color="943634" w:themeColor="accent2" w:themeShade="BF"/>
              <w:bottom w:val="single" w:sz="6" w:space="0" w:color="943634" w:themeColor="accent2" w:themeShade="BF"/>
            </w:tcBorders>
          </w:tcPr>
          <w:tbl>
            <w:tblPr>
              <w:tblpPr w:leftFromText="181" w:rightFromText="181" w:vertAnchor="page" w:horzAnchor="margin" w:tblpY="181"/>
              <w:tblOverlap w:val="never"/>
              <w:tblW w:w="4979" w:type="pct"/>
              <w:tblBorders>
                <w:top w:val="single" w:sz="4" w:space="0" w:color="943634" w:themeColor="accent2" w:themeShade="BF"/>
                <w:left w:val="single" w:sz="4" w:space="0" w:color="943634" w:themeColor="accent2" w:themeShade="BF"/>
                <w:bottom w:val="single" w:sz="4" w:space="0" w:color="943634" w:themeColor="accent2" w:themeShade="BF"/>
                <w:right w:val="single" w:sz="4" w:space="0" w:color="943634" w:themeColor="accent2" w:themeShade="BF"/>
                <w:insideH w:val="single" w:sz="4" w:space="0" w:color="943634" w:themeColor="accent2" w:themeShade="BF"/>
                <w:insideV w:val="single" w:sz="4" w:space="0" w:color="943634" w:themeColor="accent2" w:themeShade="BF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5014"/>
            </w:tblGrid>
            <w:tr w:rsidR="00A04D16" w:rsidRPr="00805611" w:rsidTr="006B7E0A">
              <w:trPr>
                <w:trHeight w:val="397"/>
              </w:trPr>
              <w:tc>
                <w:tcPr>
                  <w:tcW w:w="5000" w:type="pct"/>
                  <w:gridSpan w:val="2"/>
                  <w:shd w:val="clear" w:color="auto" w:fill="E5B8B7" w:themeFill="accent2" w:themeFillTint="66"/>
                  <w:vAlign w:val="center"/>
                  <w:hideMark/>
                </w:tcPr>
                <w:p w:rsidR="00A04D16" w:rsidRPr="00805611" w:rsidRDefault="00A04D16" w:rsidP="00A04D16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5611">
                    <w:rPr>
                      <w:rFonts w:ascii="Arial" w:hAnsi="Arial" w:cs="Arial"/>
                      <w:b/>
                      <w:sz w:val="24"/>
                      <w:szCs w:val="24"/>
                    </w:rPr>
                    <w:t>Target Audience</w:t>
                  </w:r>
                </w:p>
              </w:tc>
            </w:tr>
            <w:tr w:rsidR="00A04D16" w:rsidRPr="00805611" w:rsidTr="00664532">
              <w:trPr>
                <w:trHeight w:val="1014"/>
              </w:trPr>
              <w:tc>
                <w:tcPr>
                  <w:tcW w:w="2293" w:type="pct"/>
                  <w:vAlign w:val="center"/>
                </w:tcPr>
                <w:p w:rsidR="00A04D16" w:rsidRPr="006220C3" w:rsidRDefault="00A04D16" w:rsidP="00A04D16">
                  <w:pPr>
                    <w:pStyle w:val="NoSpacing"/>
                    <w:spacing w:before="120" w:after="120"/>
                    <w:rPr>
                      <w:rFonts w:ascii="Arial" w:hAnsi="Arial" w:cs="Arial"/>
                    </w:rPr>
                  </w:pPr>
                  <w:r w:rsidRPr="006220C3">
                    <w:rPr>
                      <w:rFonts w:ascii="Arial" w:hAnsi="Arial" w:cs="Arial"/>
                    </w:rPr>
                    <w:t xml:space="preserve">People who need a detailed knowledge of the </w:t>
                  </w:r>
                  <w:r w:rsidR="00C34DDB" w:rsidRPr="006220C3">
                    <w:rPr>
                      <w:rFonts w:ascii="Arial" w:hAnsi="Arial" w:cs="Arial"/>
                    </w:rPr>
                    <w:t>Code of Practice</w:t>
                  </w:r>
                </w:p>
              </w:tc>
              <w:tc>
                <w:tcPr>
                  <w:tcW w:w="2707" w:type="pct"/>
                  <w:vAlign w:val="center"/>
                </w:tcPr>
                <w:p w:rsidR="00A04D16" w:rsidRPr="006220C3" w:rsidRDefault="00A04D16" w:rsidP="00397F6D">
                  <w:pPr>
                    <w:pStyle w:val="CoPNumberlevel1"/>
                    <w:ind w:left="34"/>
                  </w:pPr>
                  <w:r w:rsidRPr="006220C3">
                    <w:t>D</w:t>
                  </w:r>
                  <w:r w:rsidR="004B6C34">
                    <w:t>ean</w:t>
                  </w:r>
                  <w:r w:rsidRPr="006220C3">
                    <w:t xml:space="preserve"> of Education; </w:t>
                  </w:r>
                  <w:r w:rsidR="00CA5383" w:rsidRPr="006220C3">
                    <w:t xml:space="preserve">Quality Unit; </w:t>
                  </w:r>
                  <w:r w:rsidRPr="006220C3">
                    <w:t xml:space="preserve">Learning and Teaching Committee; Academic </w:t>
                  </w:r>
                  <w:proofErr w:type="gramStart"/>
                  <w:r w:rsidRPr="006220C3">
                    <w:t xml:space="preserve">Registrar;  </w:t>
                  </w:r>
                  <w:r w:rsidR="00CA5383" w:rsidRPr="006220C3">
                    <w:t>Directors</w:t>
                  </w:r>
                  <w:proofErr w:type="gramEnd"/>
                  <w:r w:rsidR="00CA5383" w:rsidRPr="006220C3">
                    <w:t xml:space="preserve"> of Studies; Module Convenors</w:t>
                  </w:r>
                </w:p>
              </w:tc>
            </w:tr>
            <w:tr w:rsidR="00A04D16" w:rsidRPr="00805611" w:rsidTr="00D80CCF">
              <w:trPr>
                <w:trHeight w:val="397"/>
              </w:trPr>
              <w:tc>
                <w:tcPr>
                  <w:tcW w:w="2293" w:type="pct"/>
                  <w:tcBorders>
                    <w:bottom w:val="single" w:sz="4" w:space="0" w:color="990000"/>
                  </w:tcBorders>
                  <w:vAlign w:val="center"/>
                </w:tcPr>
                <w:p w:rsidR="00A04D16" w:rsidRPr="006220C3" w:rsidRDefault="00A04D16" w:rsidP="00A04D16">
                  <w:pPr>
                    <w:pStyle w:val="NoSpacing"/>
                    <w:spacing w:before="120" w:after="120"/>
                    <w:rPr>
                      <w:rFonts w:ascii="Arial" w:hAnsi="Arial" w:cs="Arial"/>
                    </w:rPr>
                  </w:pPr>
                  <w:r w:rsidRPr="006220C3">
                    <w:rPr>
                      <w:rFonts w:ascii="Arial" w:hAnsi="Arial" w:cs="Arial"/>
                    </w:rPr>
                    <w:t xml:space="preserve">People who need a broad understanding of the </w:t>
                  </w:r>
                  <w:r w:rsidR="00C34DDB" w:rsidRPr="006220C3">
                    <w:rPr>
                      <w:rFonts w:ascii="Arial" w:hAnsi="Arial" w:cs="Arial"/>
                    </w:rPr>
                    <w:t>Code of Practice</w:t>
                  </w:r>
                </w:p>
              </w:tc>
              <w:tc>
                <w:tcPr>
                  <w:tcW w:w="2707" w:type="pct"/>
                  <w:tcBorders>
                    <w:bottom w:val="single" w:sz="4" w:space="0" w:color="990000"/>
                  </w:tcBorders>
                  <w:vAlign w:val="center"/>
                </w:tcPr>
                <w:p w:rsidR="00A04D16" w:rsidRPr="006220C3" w:rsidRDefault="00B203E3" w:rsidP="00A3548D">
                  <w:pPr>
                    <w:pStyle w:val="NoSpacing"/>
                    <w:spacing w:before="120" w:after="120"/>
                    <w:ind w:left="34"/>
                    <w:rPr>
                      <w:rFonts w:ascii="Arial" w:hAnsi="Arial" w:cs="Arial"/>
                    </w:rPr>
                  </w:pPr>
                  <w:r w:rsidRPr="006220C3">
                    <w:rPr>
                      <w:rFonts w:ascii="Arial" w:hAnsi="Arial" w:cs="Arial"/>
                    </w:rPr>
                    <w:t xml:space="preserve">Management Committee; </w:t>
                  </w:r>
                  <w:r w:rsidR="00CA5383" w:rsidRPr="006220C3">
                    <w:rPr>
                      <w:rFonts w:ascii="Arial" w:hAnsi="Arial" w:cs="Arial"/>
                    </w:rPr>
                    <w:t>Students</w:t>
                  </w:r>
                  <w:r w:rsidR="00A04D16" w:rsidRPr="006220C3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D80CCF" w:rsidRPr="00805611" w:rsidTr="00D80CCF">
              <w:trPr>
                <w:trHeight w:val="397"/>
              </w:trPr>
              <w:tc>
                <w:tcPr>
                  <w:tcW w:w="2293" w:type="pct"/>
                  <w:tcBorders>
                    <w:top w:val="single" w:sz="4" w:space="0" w:color="990000"/>
                    <w:left w:val="single" w:sz="4" w:space="0" w:color="990000"/>
                    <w:bottom w:val="single" w:sz="4" w:space="0" w:color="990000"/>
                    <w:right w:val="single" w:sz="4" w:space="0" w:color="990000"/>
                  </w:tcBorders>
                  <w:vAlign w:val="center"/>
                </w:tcPr>
                <w:p w:rsidR="00D80CCF" w:rsidRPr="006220C3" w:rsidRDefault="00D80CCF" w:rsidP="00D80CCF">
                  <w:pPr>
                    <w:pStyle w:val="NoSpacing"/>
                    <w:spacing w:before="120" w:after="120"/>
                    <w:rPr>
                      <w:rFonts w:ascii="Arial" w:hAnsi="Arial" w:cs="Arial"/>
                    </w:rPr>
                  </w:pPr>
                  <w:r w:rsidRPr="006220C3">
                    <w:rPr>
                      <w:rFonts w:ascii="Arial" w:hAnsi="Arial" w:cs="Arial"/>
                    </w:rPr>
                    <w:t>People who need to know that the Code of Practice exists</w:t>
                  </w:r>
                </w:p>
              </w:tc>
              <w:tc>
                <w:tcPr>
                  <w:tcW w:w="2707" w:type="pct"/>
                  <w:tcBorders>
                    <w:top w:val="single" w:sz="4" w:space="0" w:color="990000"/>
                    <w:left w:val="single" w:sz="4" w:space="0" w:color="990000"/>
                    <w:bottom w:val="single" w:sz="4" w:space="0" w:color="990000"/>
                    <w:right w:val="single" w:sz="4" w:space="0" w:color="990000"/>
                  </w:tcBorders>
                  <w:vAlign w:val="center"/>
                </w:tcPr>
                <w:p w:rsidR="00D80CCF" w:rsidRPr="006220C3" w:rsidRDefault="00D80CCF" w:rsidP="00D80CCF">
                  <w:pPr>
                    <w:pStyle w:val="NoSpacing"/>
                    <w:spacing w:before="120" w:after="120"/>
                    <w:ind w:left="34"/>
                    <w:rPr>
                      <w:rFonts w:ascii="Arial" w:hAnsi="Arial" w:cs="Arial"/>
                    </w:rPr>
                  </w:pPr>
                  <w:r w:rsidRPr="006220C3">
                    <w:rPr>
                      <w:rFonts w:ascii="Arial" w:hAnsi="Arial" w:cs="Arial"/>
                    </w:rPr>
                    <w:t xml:space="preserve">Academic Registry; </w:t>
                  </w:r>
                  <w:r w:rsidR="004B6C34">
                    <w:rPr>
                      <w:rFonts w:ascii="Arial" w:hAnsi="Arial" w:cs="Arial"/>
                    </w:rPr>
                    <w:t>Admissions</w:t>
                  </w:r>
                  <w:r w:rsidRPr="006220C3">
                    <w:rPr>
                      <w:rFonts w:ascii="Arial" w:hAnsi="Arial" w:cs="Arial"/>
                    </w:rPr>
                    <w:t>; Academic staff</w:t>
                  </w:r>
                </w:p>
              </w:tc>
            </w:tr>
            <w:tr w:rsidR="00D80CCF" w:rsidRPr="00805611" w:rsidTr="00D80CCF">
              <w:trPr>
                <w:trHeight w:val="397"/>
              </w:trPr>
              <w:tc>
                <w:tcPr>
                  <w:tcW w:w="2293" w:type="pct"/>
                  <w:tcBorders>
                    <w:top w:val="single" w:sz="4" w:space="0" w:color="990000"/>
                    <w:left w:val="nil"/>
                    <w:bottom w:val="nil"/>
                    <w:right w:val="nil"/>
                  </w:tcBorders>
                  <w:vAlign w:val="center"/>
                </w:tcPr>
                <w:p w:rsidR="00D80CCF" w:rsidRPr="00664532" w:rsidRDefault="00D80CCF" w:rsidP="00D80CCF">
                  <w:pPr>
                    <w:pStyle w:val="NoSpacing"/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7" w:type="pct"/>
                  <w:tcBorders>
                    <w:top w:val="single" w:sz="4" w:space="0" w:color="990000"/>
                    <w:left w:val="nil"/>
                    <w:bottom w:val="nil"/>
                    <w:right w:val="nil"/>
                  </w:tcBorders>
                  <w:vAlign w:val="center"/>
                </w:tcPr>
                <w:p w:rsidR="00D80CCF" w:rsidRPr="00664532" w:rsidRDefault="00D80CCF" w:rsidP="00D80CCF">
                  <w:pPr>
                    <w:pStyle w:val="NoSpacing"/>
                    <w:spacing w:before="120" w:after="120"/>
                    <w:ind w:left="34"/>
                  </w:pPr>
                </w:p>
              </w:tc>
            </w:tr>
          </w:tbl>
          <w:p w:rsidR="00ED4A53" w:rsidRPr="00853D2A" w:rsidRDefault="00ED4A53" w:rsidP="00A04D16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:rsidR="00876075" w:rsidRPr="00876075" w:rsidRDefault="00ED4A53" w:rsidP="00E21955">
      <w:pPr>
        <w:pStyle w:val="HeadingListStyle"/>
        <w:keepNext/>
        <w:numPr>
          <w:ilvl w:val="0"/>
          <w:numId w:val="0"/>
        </w:numPr>
        <w:pBdr>
          <w:top w:val="single" w:sz="4" w:space="9" w:color="943634" w:themeColor="accent2" w:themeShade="BF"/>
          <w:bottom w:val="single" w:sz="4" w:space="9" w:color="943634" w:themeColor="accent2" w:themeShade="BF"/>
        </w:pBdr>
        <w:spacing w:before="360" w:line="276" w:lineRule="auto"/>
        <w:contextualSpacing w:val="0"/>
        <w:rPr>
          <w:color w:val="943634" w:themeColor="accent2" w:themeShade="BF"/>
          <w:sz w:val="32"/>
          <w:szCs w:val="32"/>
          <w:u w:val="none"/>
        </w:rPr>
      </w:pPr>
      <w:r>
        <w:br w:type="page"/>
      </w:r>
      <w:r w:rsidRPr="00876075">
        <w:rPr>
          <w:color w:val="943634" w:themeColor="accent2" w:themeShade="BF"/>
          <w:sz w:val="32"/>
          <w:szCs w:val="32"/>
          <w:u w:val="none"/>
        </w:rPr>
        <w:lastRenderedPageBreak/>
        <w:t>Contents</w:t>
      </w:r>
    </w:p>
    <w:p w:rsidR="00D03C73" w:rsidRDefault="007E7F9B">
      <w:pPr>
        <w:pStyle w:val="TOC1"/>
        <w:rPr>
          <w:rFonts w:asciiTheme="minorHAnsi" w:hAnsiTheme="minorHAnsi" w:cstheme="minorBidi"/>
          <w:b w:val="0"/>
          <w:bCs w:val="0"/>
          <w:sz w:val="22"/>
          <w:szCs w:val="22"/>
        </w:rPr>
      </w:pPr>
      <w:r w:rsidRPr="007E7F9B">
        <w:fldChar w:fldCharType="begin"/>
      </w:r>
      <w:r w:rsidRPr="007E7F9B">
        <w:instrText xml:space="preserve"> TOC \h \z \t "CoP border heading,1,CoP v2 Heading,2,CoP SubHead,3" </w:instrText>
      </w:r>
      <w:r w:rsidRPr="007E7F9B">
        <w:fldChar w:fldCharType="separate"/>
      </w:r>
      <w:hyperlink w:anchor="_Toc426547851" w:history="1">
        <w:r w:rsidR="00D03C73" w:rsidRPr="00BE1E44">
          <w:rPr>
            <w:rStyle w:val="Hyperlink"/>
          </w:rPr>
          <w:t>1</w:t>
        </w:r>
        <w:r w:rsidR="00D03C73">
          <w:rPr>
            <w:rFonts w:asciiTheme="minorHAnsi" w:hAnsiTheme="minorHAnsi" w:cstheme="minorBidi"/>
            <w:b w:val="0"/>
            <w:bCs w:val="0"/>
            <w:sz w:val="22"/>
            <w:szCs w:val="22"/>
          </w:rPr>
          <w:tab/>
        </w:r>
        <w:r w:rsidR="00D03C73" w:rsidRPr="00BE1E44">
          <w:rPr>
            <w:rStyle w:val="Hyperlink"/>
          </w:rPr>
          <w:t>Introduction and Context</w:t>
        </w:r>
        <w:r w:rsidR="00D03C73">
          <w:rPr>
            <w:webHidden/>
          </w:rPr>
          <w:tab/>
        </w:r>
        <w:r w:rsidR="00D03C73">
          <w:rPr>
            <w:webHidden/>
          </w:rPr>
          <w:fldChar w:fldCharType="begin"/>
        </w:r>
        <w:r w:rsidR="00D03C73">
          <w:rPr>
            <w:webHidden/>
          </w:rPr>
          <w:instrText xml:space="preserve"> PAGEREF _Toc426547851 \h </w:instrText>
        </w:r>
        <w:r w:rsidR="00D03C73">
          <w:rPr>
            <w:webHidden/>
          </w:rPr>
        </w:r>
        <w:r w:rsidR="00D03C73">
          <w:rPr>
            <w:webHidden/>
          </w:rPr>
          <w:fldChar w:fldCharType="separate"/>
        </w:r>
        <w:r w:rsidR="00F64112">
          <w:rPr>
            <w:webHidden/>
          </w:rPr>
          <w:t>3</w:t>
        </w:r>
        <w:r w:rsidR="00D03C73">
          <w:rPr>
            <w:webHidden/>
          </w:rPr>
          <w:fldChar w:fldCharType="end"/>
        </w:r>
      </w:hyperlink>
    </w:p>
    <w:p w:rsidR="00D03C73" w:rsidRDefault="00FA2C88">
      <w:pPr>
        <w:pStyle w:val="TOC1"/>
        <w:rPr>
          <w:rFonts w:asciiTheme="minorHAnsi" w:hAnsiTheme="minorHAnsi" w:cstheme="minorBidi"/>
          <w:b w:val="0"/>
          <w:bCs w:val="0"/>
          <w:sz w:val="22"/>
          <w:szCs w:val="22"/>
        </w:rPr>
      </w:pPr>
      <w:hyperlink w:anchor="_Toc426547852" w:history="1">
        <w:r w:rsidR="00D03C73" w:rsidRPr="00BE1E44">
          <w:rPr>
            <w:rStyle w:val="Hyperlink"/>
          </w:rPr>
          <w:t>2</w:t>
        </w:r>
        <w:r w:rsidR="00D03C73">
          <w:rPr>
            <w:rFonts w:asciiTheme="minorHAnsi" w:hAnsiTheme="minorHAnsi" w:cstheme="minorBidi"/>
            <w:b w:val="0"/>
            <w:bCs w:val="0"/>
            <w:sz w:val="22"/>
            <w:szCs w:val="22"/>
          </w:rPr>
          <w:tab/>
        </w:r>
        <w:r w:rsidR="00D03C73" w:rsidRPr="00BE1E44">
          <w:rPr>
            <w:rStyle w:val="Hyperlink"/>
          </w:rPr>
          <w:t>Scope</w:t>
        </w:r>
        <w:r w:rsidR="00D03C73">
          <w:rPr>
            <w:webHidden/>
          </w:rPr>
          <w:tab/>
        </w:r>
        <w:r w:rsidR="00D03C73">
          <w:rPr>
            <w:webHidden/>
          </w:rPr>
          <w:tab/>
        </w:r>
        <w:r w:rsidR="00D03C73">
          <w:rPr>
            <w:webHidden/>
          </w:rPr>
          <w:fldChar w:fldCharType="begin"/>
        </w:r>
        <w:r w:rsidR="00D03C73">
          <w:rPr>
            <w:webHidden/>
          </w:rPr>
          <w:instrText xml:space="preserve"> PAGEREF _Toc426547852 \h </w:instrText>
        </w:r>
        <w:r w:rsidR="00D03C73">
          <w:rPr>
            <w:webHidden/>
          </w:rPr>
        </w:r>
        <w:r w:rsidR="00D03C73">
          <w:rPr>
            <w:webHidden/>
          </w:rPr>
          <w:fldChar w:fldCharType="separate"/>
        </w:r>
        <w:r w:rsidR="00F64112">
          <w:rPr>
            <w:webHidden/>
          </w:rPr>
          <w:t>3</w:t>
        </w:r>
        <w:r w:rsidR="00D03C73">
          <w:rPr>
            <w:webHidden/>
          </w:rPr>
          <w:fldChar w:fldCharType="end"/>
        </w:r>
      </w:hyperlink>
    </w:p>
    <w:p w:rsidR="00D03C73" w:rsidRDefault="00FA2C88">
      <w:pPr>
        <w:pStyle w:val="TOC1"/>
        <w:rPr>
          <w:rFonts w:asciiTheme="minorHAnsi" w:hAnsiTheme="minorHAnsi" w:cstheme="minorBidi"/>
          <w:b w:val="0"/>
          <w:bCs w:val="0"/>
          <w:sz w:val="22"/>
          <w:szCs w:val="22"/>
        </w:rPr>
      </w:pPr>
      <w:hyperlink w:anchor="_Toc426547853" w:history="1">
        <w:r w:rsidR="00D03C73" w:rsidRPr="00BE1E44">
          <w:rPr>
            <w:rStyle w:val="Hyperlink"/>
          </w:rPr>
          <w:t>3</w:t>
        </w:r>
        <w:r w:rsidR="00D03C73">
          <w:rPr>
            <w:rFonts w:asciiTheme="minorHAnsi" w:hAnsiTheme="minorHAnsi" w:cstheme="minorBidi"/>
            <w:b w:val="0"/>
            <w:bCs w:val="0"/>
            <w:sz w:val="22"/>
            <w:szCs w:val="22"/>
          </w:rPr>
          <w:tab/>
        </w:r>
        <w:r w:rsidR="00D03C73" w:rsidRPr="00BE1E44">
          <w:rPr>
            <w:rStyle w:val="Hyperlink"/>
          </w:rPr>
          <w:t>Roles and Responsibilities</w:t>
        </w:r>
        <w:r w:rsidR="00D03C73">
          <w:rPr>
            <w:webHidden/>
          </w:rPr>
          <w:tab/>
        </w:r>
        <w:r w:rsidR="00D03C73">
          <w:rPr>
            <w:webHidden/>
          </w:rPr>
          <w:fldChar w:fldCharType="begin"/>
        </w:r>
        <w:r w:rsidR="00D03C73">
          <w:rPr>
            <w:webHidden/>
          </w:rPr>
          <w:instrText xml:space="preserve"> PAGEREF _Toc426547853 \h </w:instrText>
        </w:r>
        <w:r w:rsidR="00D03C73">
          <w:rPr>
            <w:webHidden/>
          </w:rPr>
        </w:r>
        <w:r w:rsidR="00D03C73">
          <w:rPr>
            <w:webHidden/>
          </w:rPr>
          <w:fldChar w:fldCharType="separate"/>
        </w:r>
        <w:r w:rsidR="00F64112">
          <w:rPr>
            <w:webHidden/>
          </w:rPr>
          <w:t>4</w:t>
        </w:r>
        <w:r w:rsidR="00D03C73">
          <w:rPr>
            <w:webHidden/>
          </w:rPr>
          <w:fldChar w:fldCharType="end"/>
        </w:r>
      </w:hyperlink>
    </w:p>
    <w:p w:rsidR="00D03C73" w:rsidRDefault="00FA2C88">
      <w:pPr>
        <w:pStyle w:val="TOC1"/>
        <w:rPr>
          <w:rFonts w:asciiTheme="minorHAnsi" w:hAnsiTheme="minorHAnsi" w:cstheme="minorBidi"/>
          <w:b w:val="0"/>
          <w:bCs w:val="0"/>
          <w:sz w:val="22"/>
          <w:szCs w:val="22"/>
        </w:rPr>
      </w:pPr>
      <w:hyperlink w:anchor="_Toc426547854" w:history="1">
        <w:r w:rsidR="00D03C73" w:rsidRPr="00BE1E44">
          <w:rPr>
            <w:rStyle w:val="Hyperlink"/>
          </w:rPr>
          <w:t>4</w:t>
        </w:r>
        <w:r w:rsidR="00D03C73">
          <w:rPr>
            <w:rFonts w:asciiTheme="minorHAnsi" w:hAnsiTheme="minorHAnsi" w:cstheme="minorBidi"/>
            <w:b w:val="0"/>
            <w:bCs w:val="0"/>
            <w:sz w:val="22"/>
            <w:szCs w:val="22"/>
          </w:rPr>
          <w:tab/>
        </w:r>
        <w:r w:rsidR="00D03C73" w:rsidRPr="00BE1E44">
          <w:rPr>
            <w:rStyle w:val="Hyperlink"/>
          </w:rPr>
          <w:t>Programme Approval and Design</w:t>
        </w:r>
        <w:r w:rsidR="00D03C73">
          <w:rPr>
            <w:webHidden/>
          </w:rPr>
          <w:tab/>
        </w:r>
        <w:r w:rsidR="00D03C73">
          <w:rPr>
            <w:webHidden/>
          </w:rPr>
          <w:fldChar w:fldCharType="begin"/>
        </w:r>
        <w:r w:rsidR="00D03C73">
          <w:rPr>
            <w:webHidden/>
          </w:rPr>
          <w:instrText xml:space="preserve"> PAGEREF _Toc426547854 \h </w:instrText>
        </w:r>
        <w:r w:rsidR="00D03C73">
          <w:rPr>
            <w:webHidden/>
          </w:rPr>
        </w:r>
        <w:r w:rsidR="00D03C73">
          <w:rPr>
            <w:webHidden/>
          </w:rPr>
          <w:fldChar w:fldCharType="separate"/>
        </w:r>
        <w:r w:rsidR="00F64112">
          <w:rPr>
            <w:webHidden/>
          </w:rPr>
          <w:t>5</w:t>
        </w:r>
        <w:r w:rsidR="00D03C73">
          <w:rPr>
            <w:webHidden/>
          </w:rPr>
          <w:fldChar w:fldCharType="end"/>
        </w:r>
      </w:hyperlink>
    </w:p>
    <w:p w:rsidR="00D03C73" w:rsidRDefault="00FA2C88">
      <w:pPr>
        <w:pStyle w:val="TOC1"/>
        <w:rPr>
          <w:rFonts w:asciiTheme="minorHAnsi" w:hAnsiTheme="minorHAnsi" w:cstheme="minorBidi"/>
          <w:b w:val="0"/>
          <w:bCs w:val="0"/>
          <w:sz w:val="22"/>
          <w:szCs w:val="22"/>
        </w:rPr>
      </w:pPr>
      <w:hyperlink w:anchor="_Toc426547855" w:history="1">
        <w:r w:rsidR="00D03C73" w:rsidRPr="00BE1E44">
          <w:rPr>
            <w:rStyle w:val="Hyperlink"/>
          </w:rPr>
          <w:t>5</w:t>
        </w:r>
        <w:r w:rsidR="00D03C73">
          <w:rPr>
            <w:rFonts w:asciiTheme="minorHAnsi" w:hAnsiTheme="minorHAnsi" w:cstheme="minorBidi"/>
            <w:b w:val="0"/>
            <w:bCs w:val="0"/>
            <w:sz w:val="22"/>
            <w:szCs w:val="22"/>
          </w:rPr>
          <w:tab/>
        </w:r>
        <w:r w:rsidR="00D03C73" w:rsidRPr="00BE1E44">
          <w:rPr>
            <w:rStyle w:val="Hyperlink"/>
          </w:rPr>
          <w:t>New Programmes and Modifications to Programmes</w:t>
        </w:r>
        <w:r w:rsidR="00D03C73">
          <w:rPr>
            <w:webHidden/>
          </w:rPr>
          <w:tab/>
        </w:r>
        <w:r w:rsidR="00D03C73">
          <w:rPr>
            <w:webHidden/>
          </w:rPr>
          <w:fldChar w:fldCharType="begin"/>
        </w:r>
        <w:r w:rsidR="00D03C73">
          <w:rPr>
            <w:webHidden/>
          </w:rPr>
          <w:instrText xml:space="preserve"> PAGEREF _Toc426547855 \h </w:instrText>
        </w:r>
        <w:r w:rsidR="00D03C73">
          <w:rPr>
            <w:webHidden/>
          </w:rPr>
        </w:r>
        <w:r w:rsidR="00D03C73">
          <w:rPr>
            <w:webHidden/>
          </w:rPr>
          <w:fldChar w:fldCharType="separate"/>
        </w:r>
        <w:r w:rsidR="00F64112">
          <w:rPr>
            <w:webHidden/>
          </w:rPr>
          <w:t>6</w:t>
        </w:r>
        <w:r w:rsidR="00D03C73">
          <w:rPr>
            <w:webHidden/>
          </w:rPr>
          <w:fldChar w:fldCharType="end"/>
        </w:r>
      </w:hyperlink>
    </w:p>
    <w:p w:rsidR="00D03C73" w:rsidRDefault="00FA2C88">
      <w:pPr>
        <w:pStyle w:val="TOC1"/>
        <w:rPr>
          <w:rFonts w:asciiTheme="minorHAnsi" w:hAnsiTheme="minorHAnsi" w:cstheme="minorBidi"/>
          <w:b w:val="0"/>
          <w:bCs w:val="0"/>
          <w:sz w:val="22"/>
          <w:szCs w:val="22"/>
        </w:rPr>
      </w:pPr>
      <w:hyperlink w:anchor="_Toc426547856" w:history="1">
        <w:r w:rsidR="00D03C73" w:rsidRPr="00BE1E44">
          <w:rPr>
            <w:rStyle w:val="Hyperlink"/>
          </w:rPr>
          <w:t>6</w:t>
        </w:r>
        <w:r w:rsidR="00D03C73">
          <w:rPr>
            <w:rFonts w:asciiTheme="minorHAnsi" w:hAnsiTheme="minorHAnsi" w:cstheme="minorBidi"/>
            <w:b w:val="0"/>
            <w:bCs w:val="0"/>
            <w:sz w:val="22"/>
            <w:szCs w:val="22"/>
          </w:rPr>
          <w:tab/>
        </w:r>
        <w:r w:rsidR="00D03C73" w:rsidRPr="00BE1E44">
          <w:rPr>
            <w:rStyle w:val="Hyperlink"/>
          </w:rPr>
          <w:t>New Modules</w:t>
        </w:r>
        <w:r w:rsidR="00D03C73">
          <w:rPr>
            <w:webHidden/>
          </w:rPr>
          <w:tab/>
        </w:r>
        <w:r w:rsidR="00D03C73">
          <w:rPr>
            <w:webHidden/>
          </w:rPr>
          <w:fldChar w:fldCharType="begin"/>
        </w:r>
        <w:r w:rsidR="00D03C73">
          <w:rPr>
            <w:webHidden/>
          </w:rPr>
          <w:instrText xml:space="preserve"> PAGEREF _Toc426547856 \h </w:instrText>
        </w:r>
        <w:r w:rsidR="00D03C73">
          <w:rPr>
            <w:webHidden/>
          </w:rPr>
        </w:r>
        <w:r w:rsidR="00D03C73">
          <w:rPr>
            <w:webHidden/>
          </w:rPr>
          <w:fldChar w:fldCharType="separate"/>
        </w:r>
        <w:r w:rsidR="00F64112">
          <w:rPr>
            <w:webHidden/>
          </w:rPr>
          <w:t>7</w:t>
        </w:r>
        <w:r w:rsidR="00D03C73">
          <w:rPr>
            <w:webHidden/>
          </w:rPr>
          <w:fldChar w:fldCharType="end"/>
        </w:r>
      </w:hyperlink>
    </w:p>
    <w:p w:rsidR="00D03C73" w:rsidRDefault="00FA2C88">
      <w:pPr>
        <w:pStyle w:val="TOC1"/>
        <w:rPr>
          <w:rFonts w:asciiTheme="minorHAnsi" w:hAnsiTheme="minorHAnsi" w:cstheme="minorBidi"/>
          <w:b w:val="0"/>
          <w:bCs w:val="0"/>
          <w:sz w:val="22"/>
          <w:szCs w:val="22"/>
        </w:rPr>
      </w:pPr>
      <w:hyperlink w:anchor="_Toc426547857" w:history="1">
        <w:r w:rsidR="00D03C73" w:rsidRPr="00BE1E44">
          <w:rPr>
            <w:rStyle w:val="Hyperlink"/>
          </w:rPr>
          <w:t>7</w:t>
        </w:r>
        <w:r w:rsidR="00D03C73">
          <w:rPr>
            <w:rFonts w:asciiTheme="minorHAnsi" w:hAnsiTheme="minorHAnsi" w:cstheme="minorBidi"/>
            <w:b w:val="0"/>
            <w:bCs w:val="0"/>
            <w:sz w:val="22"/>
            <w:szCs w:val="22"/>
          </w:rPr>
          <w:tab/>
        </w:r>
        <w:r w:rsidR="00D03C73" w:rsidRPr="00BE1E44">
          <w:rPr>
            <w:rStyle w:val="Hyperlink"/>
          </w:rPr>
          <w:t>Programme Monitoring</w:t>
        </w:r>
        <w:r w:rsidR="00D03C73">
          <w:rPr>
            <w:webHidden/>
          </w:rPr>
          <w:tab/>
        </w:r>
        <w:r w:rsidR="00D03C73">
          <w:rPr>
            <w:webHidden/>
          </w:rPr>
          <w:fldChar w:fldCharType="begin"/>
        </w:r>
        <w:r w:rsidR="00D03C73">
          <w:rPr>
            <w:webHidden/>
          </w:rPr>
          <w:instrText xml:space="preserve"> PAGEREF _Toc426547857 \h </w:instrText>
        </w:r>
        <w:r w:rsidR="00D03C73">
          <w:rPr>
            <w:webHidden/>
          </w:rPr>
        </w:r>
        <w:r w:rsidR="00D03C73">
          <w:rPr>
            <w:webHidden/>
          </w:rPr>
          <w:fldChar w:fldCharType="separate"/>
        </w:r>
        <w:r w:rsidR="00F64112">
          <w:rPr>
            <w:webHidden/>
          </w:rPr>
          <w:t>8</w:t>
        </w:r>
        <w:r w:rsidR="00D03C73">
          <w:rPr>
            <w:webHidden/>
          </w:rPr>
          <w:fldChar w:fldCharType="end"/>
        </w:r>
      </w:hyperlink>
    </w:p>
    <w:p w:rsidR="00D03C73" w:rsidRDefault="00FA2C88">
      <w:pPr>
        <w:pStyle w:val="TOC1"/>
        <w:rPr>
          <w:rFonts w:asciiTheme="minorHAnsi" w:hAnsiTheme="minorHAnsi" w:cstheme="minorBidi"/>
          <w:b w:val="0"/>
          <w:bCs w:val="0"/>
          <w:sz w:val="22"/>
          <w:szCs w:val="22"/>
        </w:rPr>
      </w:pPr>
      <w:hyperlink w:anchor="_Toc426547858" w:history="1">
        <w:r w:rsidR="00D03C73" w:rsidRPr="00BE1E44">
          <w:rPr>
            <w:rStyle w:val="Hyperlink"/>
          </w:rPr>
          <w:t>8</w:t>
        </w:r>
        <w:r w:rsidR="00D03C73">
          <w:rPr>
            <w:rFonts w:asciiTheme="minorHAnsi" w:hAnsiTheme="minorHAnsi" w:cstheme="minorBidi"/>
            <w:b w:val="0"/>
            <w:bCs w:val="0"/>
            <w:sz w:val="22"/>
            <w:szCs w:val="22"/>
          </w:rPr>
          <w:tab/>
        </w:r>
        <w:r w:rsidR="00D03C73" w:rsidRPr="00BE1E44">
          <w:rPr>
            <w:rStyle w:val="Hyperlink"/>
          </w:rPr>
          <w:t>Re-approval of Programmes and Periodic Review</w:t>
        </w:r>
        <w:r w:rsidR="00D03C73">
          <w:rPr>
            <w:webHidden/>
          </w:rPr>
          <w:tab/>
        </w:r>
        <w:r w:rsidR="00D03C73">
          <w:rPr>
            <w:webHidden/>
          </w:rPr>
          <w:fldChar w:fldCharType="begin"/>
        </w:r>
        <w:r w:rsidR="00D03C73">
          <w:rPr>
            <w:webHidden/>
          </w:rPr>
          <w:instrText xml:space="preserve"> PAGEREF _Toc426547858 \h </w:instrText>
        </w:r>
        <w:r w:rsidR="00D03C73">
          <w:rPr>
            <w:webHidden/>
          </w:rPr>
        </w:r>
        <w:r w:rsidR="00D03C73">
          <w:rPr>
            <w:webHidden/>
          </w:rPr>
          <w:fldChar w:fldCharType="separate"/>
        </w:r>
        <w:r w:rsidR="00F64112">
          <w:rPr>
            <w:webHidden/>
          </w:rPr>
          <w:t>9</w:t>
        </w:r>
        <w:r w:rsidR="00D03C73">
          <w:rPr>
            <w:webHidden/>
          </w:rPr>
          <w:fldChar w:fldCharType="end"/>
        </w:r>
      </w:hyperlink>
    </w:p>
    <w:p w:rsidR="00D03C73" w:rsidRDefault="00FA2C88">
      <w:pPr>
        <w:pStyle w:val="TOC1"/>
        <w:rPr>
          <w:rFonts w:asciiTheme="minorHAnsi" w:hAnsiTheme="minorHAnsi" w:cstheme="minorBidi"/>
          <w:b w:val="0"/>
          <w:bCs w:val="0"/>
          <w:sz w:val="22"/>
          <w:szCs w:val="22"/>
        </w:rPr>
      </w:pPr>
      <w:hyperlink w:anchor="_Toc426547859" w:history="1">
        <w:r w:rsidR="00D03C73" w:rsidRPr="00BE1E44">
          <w:rPr>
            <w:rStyle w:val="Hyperlink"/>
          </w:rPr>
          <w:t>9</w:t>
        </w:r>
        <w:r w:rsidR="00D03C73">
          <w:rPr>
            <w:rFonts w:asciiTheme="minorHAnsi" w:hAnsiTheme="minorHAnsi" w:cstheme="minorBidi"/>
            <w:b w:val="0"/>
            <w:bCs w:val="0"/>
            <w:sz w:val="22"/>
            <w:szCs w:val="22"/>
          </w:rPr>
          <w:tab/>
        </w:r>
        <w:r w:rsidR="00D03C73" w:rsidRPr="00BE1E44">
          <w:rPr>
            <w:rStyle w:val="Hyperlink"/>
          </w:rPr>
          <w:t>Programme Closure</w:t>
        </w:r>
        <w:r w:rsidR="00D03C73">
          <w:rPr>
            <w:webHidden/>
          </w:rPr>
          <w:tab/>
        </w:r>
        <w:r w:rsidR="00D03C73">
          <w:rPr>
            <w:webHidden/>
          </w:rPr>
          <w:fldChar w:fldCharType="begin"/>
        </w:r>
        <w:r w:rsidR="00D03C73">
          <w:rPr>
            <w:webHidden/>
          </w:rPr>
          <w:instrText xml:space="preserve"> PAGEREF _Toc426547859 \h </w:instrText>
        </w:r>
        <w:r w:rsidR="00D03C73">
          <w:rPr>
            <w:webHidden/>
          </w:rPr>
        </w:r>
        <w:r w:rsidR="00D03C73">
          <w:rPr>
            <w:webHidden/>
          </w:rPr>
          <w:fldChar w:fldCharType="separate"/>
        </w:r>
        <w:r w:rsidR="00F64112">
          <w:rPr>
            <w:webHidden/>
          </w:rPr>
          <w:t>9</w:t>
        </w:r>
        <w:r w:rsidR="00D03C73">
          <w:rPr>
            <w:webHidden/>
          </w:rPr>
          <w:fldChar w:fldCharType="end"/>
        </w:r>
      </w:hyperlink>
    </w:p>
    <w:p w:rsidR="00D03C73" w:rsidRDefault="00FA2C88">
      <w:pPr>
        <w:pStyle w:val="TOC1"/>
        <w:rPr>
          <w:rFonts w:asciiTheme="minorHAnsi" w:hAnsiTheme="minorHAnsi" w:cstheme="minorBidi"/>
          <w:b w:val="0"/>
          <w:bCs w:val="0"/>
          <w:sz w:val="22"/>
          <w:szCs w:val="22"/>
        </w:rPr>
      </w:pPr>
      <w:hyperlink w:anchor="_Toc426547860" w:history="1">
        <w:r w:rsidR="00D03C73" w:rsidRPr="00BE1E44">
          <w:rPr>
            <w:rStyle w:val="Hyperlink"/>
          </w:rPr>
          <w:t>Appendix 1:  Overview of Programme Approval</w:t>
        </w:r>
        <w:r w:rsidR="00D03C73">
          <w:rPr>
            <w:webHidden/>
          </w:rPr>
          <w:tab/>
        </w:r>
        <w:r w:rsidR="00D03C73">
          <w:rPr>
            <w:webHidden/>
          </w:rPr>
          <w:fldChar w:fldCharType="begin"/>
        </w:r>
        <w:r w:rsidR="00D03C73">
          <w:rPr>
            <w:webHidden/>
          </w:rPr>
          <w:instrText xml:space="preserve"> PAGEREF _Toc426547860 \h </w:instrText>
        </w:r>
        <w:r w:rsidR="00D03C73">
          <w:rPr>
            <w:webHidden/>
          </w:rPr>
        </w:r>
        <w:r w:rsidR="00D03C73">
          <w:rPr>
            <w:webHidden/>
          </w:rPr>
          <w:fldChar w:fldCharType="separate"/>
        </w:r>
        <w:r w:rsidR="00F64112">
          <w:rPr>
            <w:webHidden/>
          </w:rPr>
          <w:t>10</w:t>
        </w:r>
        <w:r w:rsidR="00D03C73">
          <w:rPr>
            <w:webHidden/>
          </w:rPr>
          <w:fldChar w:fldCharType="end"/>
        </w:r>
      </w:hyperlink>
    </w:p>
    <w:p w:rsidR="00876075" w:rsidRDefault="007E7F9B" w:rsidP="00566FB6">
      <w:pPr>
        <w:spacing w:before="240" w:after="240"/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</w:pPr>
      <w:r w:rsidRPr="007E7F9B">
        <w:rPr>
          <w:rFonts w:ascii="Arial" w:hAnsi="Arial" w:cs="Arial"/>
          <w:b/>
          <w:bCs/>
          <w:noProof/>
          <w:color w:val="943634" w:themeColor="accent2" w:themeShade="BF"/>
          <w:sz w:val="24"/>
          <w:szCs w:val="24"/>
        </w:rPr>
        <w:fldChar w:fldCharType="end"/>
      </w:r>
      <w:r w:rsidR="00876075">
        <w:rPr>
          <w:color w:val="943634" w:themeColor="accent2" w:themeShade="BF"/>
          <w:sz w:val="24"/>
          <w:szCs w:val="24"/>
        </w:rPr>
        <w:br w:type="page"/>
      </w:r>
    </w:p>
    <w:p w:rsidR="00ED4A53" w:rsidRPr="00A21773" w:rsidRDefault="00981629" w:rsidP="00A21773">
      <w:pPr>
        <w:pStyle w:val="CoPborderheading"/>
        <w:numPr>
          <w:ilvl w:val="0"/>
          <w:numId w:val="50"/>
        </w:numPr>
        <w:rPr>
          <w:rFonts w:hint="eastAsia"/>
        </w:rPr>
      </w:pPr>
      <w:bookmarkStart w:id="0" w:name="_Toc342395970"/>
      <w:bookmarkStart w:id="1" w:name="_Toc426547851"/>
      <w:r w:rsidRPr="00A21773">
        <w:lastRenderedPageBreak/>
        <w:t xml:space="preserve">Introduction </w:t>
      </w:r>
      <w:r w:rsidR="00E92B0F" w:rsidRPr="00A21773">
        <w:t>and Context</w:t>
      </w:r>
      <w:bookmarkEnd w:id="0"/>
      <w:bookmarkEnd w:id="1"/>
      <w:r w:rsidR="00ED4A53" w:rsidRPr="00A21773">
        <w:t xml:space="preserve"> </w:t>
      </w:r>
    </w:p>
    <w:p w:rsidR="00B54D9C" w:rsidRPr="00397F6D" w:rsidRDefault="00D3300C" w:rsidP="00A21773">
      <w:pPr>
        <w:pStyle w:val="CoPNumberlevel1"/>
        <w:numPr>
          <w:ilvl w:val="1"/>
          <w:numId w:val="50"/>
        </w:numPr>
        <w:ind w:left="709" w:hanging="709"/>
      </w:pPr>
      <w:bookmarkStart w:id="2" w:name="_Toc342395969"/>
      <w:r w:rsidRPr="00397F6D">
        <w:t xml:space="preserve">This Code of Practice sets out </w:t>
      </w:r>
      <w:r w:rsidRPr="00A21773">
        <w:t>the</w:t>
      </w:r>
      <w:r w:rsidRPr="00397F6D">
        <w:t xml:space="preserve"> broad principles that guide the design, approval,</w:t>
      </w:r>
      <w:r w:rsidR="006F16BD" w:rsidRPr="00397F6D">
        <w:t xml:space="preserve"> annual monitoring and </w:t>
      </w:r>
      <w:r w:rsidRPr="00397F6D">
        <w:t>review of taught programmes</w:t>
      </w:r>
      <w:r w:rsidR="00573245" w:rsidRPr="00397F6D">
        <w:t xml:space="preserve"> offered by the Liverpool School of Tropical Medicine (LSTM)</w:t>
      </w:r>
      <w:r w:rsidRPr="00397F6D">
        <w:t xml:space="preserve">.  It also identifies the provisions that will be </w:t>
      </w:r>
      <w:r w:rsidR="00573245" w:rsidRPr="00397F6D">
        <w:t xml:space="preserve">made </w:t>
      </w:r>
      <w:r w:rsidRPr="00397F6D">
        <w:t xml:space="preserve">in the event of a </w:t>
      </w:r>
      <w:r w:rsidR="00573245" w:rsidRPr="00397F6D">
        <w:t xml:space="preserve">programme </w:t>
      </w:r>
      <w:r w:rsidRPr="00397F6D">
        <w:t xml:space="preserve">or award being withdrawn. </w:t>
      </w:r>
      <w:r w:rsidR="00B54D9C" w:rsidRPr="00397F6D">
        <w:t xml:space="preserve"> </w:t>
      </w:r>
      <w:r w:rsidR="00C34DDB" w:rsidRPr="00397F6D">
        <w:t xml:space="preserve">It </w:t>
      </w:r>
      <w:r w:rsidR="00B54D9C" w:rsidRPr="00397F6D">
        <w:t>is designed to meet the expectation</w:t>
      </w:r>
      <w:r w:rsidR="007B60F0" w:rsidRPr="00397F6D">
        <w:t xml:space="preserve">s of the UK Quality Code for Higher Education </w:t>
      </w:r>
      <w:r w:rsidR="00B54D9C" w:rsidRPr="00397F6D">
        <w:t xml:space="preserve">that LSTM </w:t>
      </w:r>
      <w:r w:rsidR="007B60F0" w:rsidRPr="00397F6D">
        <w:t xml:space="preserve">will </w:t>
      </w:r>
      <w:r w:rsidR="00B54D9C" w:rsidRPr="00397F6D">
        <w:t>discharg</w:t>
      </w:r>
      <w:r w:rsidR="007B60F0" w:rsidRPr="00397F6D">
        <w:t>e</w:t>
      </w:r>
      <w:r w:rsidR="00B54D9C" w:rsidRPr="00397F6D">
        <w:t xml:space="preserve"> its responsibilities for setting and maintaining academic standards and </w:t>
      </w:r>
      <w:r w:rsidR="007B60F0" w:rsidRPr="00397F6D">
        <w:t xml:space="preserve">for </w:t>
      </w:r>
      <w:r w:rsidR="00B54D9C" w:rsidRPr="00397F6D">
        <w:t>assuring and enhancing the quality of learning opportunities by</w:t>
      </w:r>
      <w:r w:rsidR="007B60F0" w:rsidRPr="00397F6D">
        <w:t xml:space="preserve"> operating:</w:t>
      </w:r>
    </w:p>
    <w:p w:rsidR="00B54D9C" w:rsidRDefault="007B60F0" w:rsidP="00424580">
      <w:pPr>
        <w:pStyle w:val="CoPbullet"/>
        <w:numPr>
          <w:ilvl w:val="2"/>
          <w:numId w:val="17"/>
        </w:numPr>
        <w:ind w:hanging="567"/>
      </w:pPr>
      <w:r>
        <w:t>E</w:t>
      </w:r>
      <w:r w:rsidR="00B54D9C">
        <w:t>ffective processes for the design, development and approval of programmes</w:t>
      </w:r>
    </w:p>
    <w:p w:rsidR="007B60F0" w:rsidRDefault="007B60F0" w:rsidP="00424580">
      <w:pPr>
        <w:pStyle w:val="CoPbullet"/>
        <w:numPr>
          <w:ilvl w:val="2"/>
          <w:numId w:val="17"/>
        </w:numPr>
        <w:ind w:hanging="567"/>
      </w:pPr>
      <w:r>
        <w:t>Effective, regular and systematic processes for monitoring and for r</w:t>
      </w:r>
      <w:r w:rsidR="00C34DDB">
        <w:t>eview of programmes</w:t>
      </w:r>
    </w:p>
    <w:p w:rsidR="00D3300C" w:rsidRPr="004846A7" w:rsidRDefault="00D3300C" w:rsidP="00A21773">
      <w:pPr>
        <w:pStyle w:val="CoPNumberlevel1"/>
        <w:numPr>
          <w:ilvl w:val="1"/>
          <w:numId w:val="50"/>
        </w:numPr>
        <w:ind w:left="709" w:hanging="709"/>
      </w:pPr>
      <w:r w:rsidRPr="00662AC8">
        <w:t>This Code of Practice complies with all current statuto</w:t>
      </w:r>
      <w:r w:rsidR="007B17EF">
        <w:t>ry and legislative requirements</w:t>
      </w:r>
      <w:r w:rsidRPr="00662AC8">
        <w:t>, including the Equality Act 2010 and the Data Protection Act 1998. It is set within the context of the UK Quality Code for Higher Education</w:t>
      </w:r>
      <w:r w:rsidR="007B60F0">
        <w:t xml:space="preserve"> </w:t>
      </w:r>
      <w:r w:rsidR="007B60F0" w:rsidRPr="00CA5383">
        <w:t>Part A</w:t>
      </w:r>
      <w:r w:rsidR="00CA5383">
        <w:t xml:space="preserve"> and </w:t>
      </w:r>
      <w:r w:rsidRPr="002E534E">
        <w:t xml:space="preserve">Chapters </w:t>
      </w:r>
      <w:r w:rsidRPr="004846A7">
        <w:t>B1</w:t>
      </w:r>
      <w:r w:rsidR="004846A7">
        <w:t xml:space="preserve"> (</w:t>
      </w:r>
      <w:r w:rsidRPr="004846A7">
        <w:rPr>
          <w:iCs/>
        </w:rPr>
        <w:t>Programme Design and Approval</w:t>
      </w:r>
      <w:r w:rsidR="00664532">
        <w:rPr>
          <w:iCs/>
        </w:rPr>
        <w:t xml:space="preserve">) and </w:t>
      </w:r>
      <w:r w:rsidRPr="004846A7">
        <w:t>B8</w:t>
      </w:r>
      <w:r w:rsidR="004846A7">
        <w:t xml:space="preserve"> (</w:t>
      </w:r>
      <w:r w:rsidRPr="004846A7">
        <w:rPr>
          <w:iCs/>
        </w:rPr>
        <w:t>Programme Monitoring and Review</w:t>
      </w:r>
      <w:r w:rsidR="004846A7">
        <w:rPr>
          <w:iCs/>
        </w:rPr>
        <w:t>)</w:t>
      </w:r>
      <w:r w:rsidR="00664532">
        <w:rPr>
          <w:iCs/>
        </w:rPr>
        <w:t>.</w:t>
      </w:r>
      <w:r w:rsidR="00664532">
        <w:t xml:space="preserve"> </w:t>
      </w:r>
    </w:p>
    <w:p w:rsidR="00A04D16" w:rsidRPr="00AD557A" w:rsidRDefault="00A04D16" w:rsidP="00A21773">
      <w:pPr>
        <w:pStyle w:val="CoPNumberlevel1"/>
        <w:numPr>
          <w:ilvl w:val="1"/>
          <w:numId w:val="50"/>
        </w:numPr>
        <w:ind w:left="709" w:hanging="709"/>
      </w:pPr>
      <w:r w:rsidRPr="00AD557A">
        <w:t>Related documents</w:t>
      </w:r>
    </w:p>
    <w:p w:rsidR="00C604A8" w:rsidRPr="002E534E" w:rsidRDefault="00C604A8" w:rsidP="00424580">
      <w:pPr>
        <w:pStyle w:val="CoPbullet"/>
        <w:numPr>
          <w:ilvl w:val="2"/>
          <w:numId w:val="17"/>
        </w:numPr>
        <w:ind w:hanging="567"/>
      </w:pPr>
      <w:r w:rsidRPr="002E534E">
        <w:t>Procedure</w:t>
      </w:r>
      <w:r w:rsidR="00094E0D">
        <w:t xml:space="preserve"> for the A</w:t>
      </w:r>
      <w:r w:rsidR="009F1536">
        <w:t>p</w:t>
      </w:r>
      <w:r w:rsidR="00094E0D">
        <w:t>proval of N</w:t>
      </w:r>
      <w:r w:rsidRPr="002E534E">
        <w:t xml:space="preserve">ew </w:t>
      </w:r>
      <w:r w:rsidR="00094E0D">
        <w:t>P</w:t>
      </w:r>
      <w:r w:rsidRPr="002E534E">
        <w:t xml:space="preserve">rogrammes and </w:t>
      </w:r>
      <w:r w:rsidR="00094E0D">
        <w:t>M</w:t>
      </w:r>
      <w:r w:rsidR="005F171B">
        <w:t xml:space="preserve">ajor </w:t>
      </w:r>
      <w:r w:rsidR="00094E0D">
        <w:t>Modifications to P</w:t>
      </w:r>
      <w:r w:rsidRPr="002E534E">
        <w:t>rogrammes</w:t>
      </w:r>
    </w:p>
    <w:p w:rsidR="001B4B72" w:rsidRPr="00DC2D71" w:rsidRDefault="00094E0D" w:rsidP="00424580">
      <w:pPr>
        <w:pStyle w:val="CoPbullet"/>
        <w:numPr>
          <w:ilvl w:val="2"/>
          <w:numId w:val="17"/>
        </w:numPr>
        <w:ind w:hanging="567"/>
      </w:pPr>
      <w:r>
        <w:t xml:space="preserve">Procedure for the Approval of New Modules </w:t>
      </w:r>
    </w:p>
    <w:p w:rsidR="00F830C8" w:rsidRPr="00FA337C" w:rsidRDefault="00F830C8" w:rsidP="00424580">
      <w:pPr>
        <w:pStyle w:val="CoPbullet"/>
        <w:numPr>
          <w:ilvl w:val="2"/>
          <w:numId w:val="17"/>
        </w:numPr>
        <w:ind w:hanging="567"/>
      </w:pPr>
      <w:r>
        <w:t xml:space="preserve">Procedure for Annual </w:t>
      </w:r>
      <w:r w:rsidR="009A72D8">
        <w:t xml:space="preserve">Review </w:t>
      </w:r>
      <w:r>
        <w:t xml:space="preserve">and Approval of Minor Modifications to </w:t>
      </w:r>
      <w:r w:rsidRPr="00FA337C">
        <w:t xml:space="preserve">Programmes and </w:t>
      </w:r>
      <w:r w:rsidR="009A72D8" w:rsidRPr="00FA337C">
        <w:t xml:space="preserve">Major/Minor Modifications to </w:t>
      </w:r>
      <w:r w:rsidRPr="00FA337C">
        <w:t>Modules</w:t>
      </w:r>
    </w:p>
    <w:p w:rsidR="00C604A8" w:rsidRPr="00FA337C" w:rsidRDefault="00C604A8" w:rsidP="00424580">
      <w:pPr>
        <w:pStyle w:val="CoPbullet"/>
        <w:numPr>
          <w:ilvl w:val="2"/>
          <w:numId w:val="17"/>
        </w:numPr>
        <w:ind w:hanging="567"/>
      </w:pPr>
      <w:r w:rsidRPr="00FA337C">
        <w:t>Procedure</w:t>
      </w:r>
      <w:r w:rsidR="00094E0D" w:rsidRPr="00FA337C">
        <w:t xml:space="preserve"> for Periodic R</w:t>
      </w:r>
      <w:r w:rsidRPr="00FA337C">
        <w:t xml:space="preserve">eview </w:t>
      </w:r>
    </w:p>
    <w:p w:rsidR="00685809" w:rsidRPr="008F0AED" w:rsidRDefault="00094E0D" w:rsidP="00424580">
      <w:pPr>
        <w:pStyle w:val="CoPbullet"/>
        <w:numPr>
          <w:ilvl w:val="2"/>
          <w:numId w:val="17"/>
        </w:numPr>
        <w:ind w:hanging="567"/>
      </w:pPr>
      <w:r w:rsidRPr="00FA337C">
        <w:t>Flowchart</w:t>
      </w:r>
      <w:r w:rsidRPr="008F0AED">
        <w:t xml:space="preserve">: Overview of Programme </w:t>
      </w:r>
      <w:r w:rsidR="00096C9D" w:rsidRPr="008F0AED">
        <w:t>Approval</w:t>
      </w:r>
    </w:p>
    <w:p w:rsidR="00981629" w:rsidRPr="00A07F52" w:rsidRDefault="00981629" w:rsidP="00A21773">
      <w:pPr>
        <w:pStyle w:val="CoPborderheading"/>
        <w:numPr>
          <w:ilvl w:val="0"/>
          <w:numId w:val="50"/>
        </w:numPr>
        <w:rPr>
          <w:rFonts w:hint="eastAsia"/>
        </w:rPr>
      </w:pPr>
      <w:bookmarkStart w:id="3" w:name="_Toc426547852"/>
      <w:r w:rsidRPr="00A07F52">
        <w:t>Scope</w:t>
      </w:r>
      <w:bookmarkEnd w:id="2"/>
      <w:bookmarkEnd w:id="3"/>
      <w:r w:rsidRPr="00A07F52">
        <w:t xml:space="preserve"> </w:t>
      </w:r>
    </w:p>
    <w:p w:rsidR="00B0031A" w:rsidRDefault="00FD2E71" w:rsidP="006462DF">
      <w:pPr>
        <w:pStyle w:val="CoPNumberlevel1"/>
        <w:numPr>
          <w:ilvl w:val="1"/>
          <w:numId w:val="50"/>
        </w:numPr>
        <w:ind w:left="709" w:hanging="709"/>
      </w:pPr>
      <w:bookmarkStart w:id="4" w:name="_Toc342395973"/>
      <w:r>
        <w:t xml:space="preserve">This Code of Practice applies to all LSTM programmes that lead to an award. </w:t>
      </w:r>
      <w:r w:rsidR="00662BFE">
        <w:t>It excludes non</w:t>
      </w:r>
      <w:r w:rsidR="0030750C">
        <w:t>-</w:t>
      </w:r>
      <w:r w:rsidR="00662BFE">
        <w:t>award-bearing short courses</w:t>
      </w:r>
      <w:r w:rsidR="006D38E2">
        <w:t>.</w:t>
      </w:r>
    </w:p>
    <w:p w:rsidR="00B0031A" w:rsidRDefault="0073253B" w:rsidP="006462DF">
      <w:pPr>
        <w:pStyle w:val="CoPNumberlevel1"/>
        <w:numPr>
          <w:ilvl w:val="1"/>
          <w:numId w:val="50"/>
        </w:numPr>
        <w:ind w:left="709" w:hanging="709"/>
      </w:pPr>
      <w:r>
        <w:t>The processes described apply to</w:t>
      </w:r>
      <w:r w:rsidR="00B0031A">
        <w:t>:</w:t>
      </w:r>
    </w:p>
    <w:p w:rsidR="00B0031A" w:rsidRPr="001B655C" w:rsidRDefault="0073253B" w:rsidP="00424580">
      <w:pPr>
        <w:pStyle w:val="CoPbullet"/>
        <w:numPr>
          <w:ilvl w:val="2"/>
          <w:numId w:val="17"/>
        </w:numPr>
        <w:ind w:hanging="567"/>
      </w:pPr>
      <w:r w:rsidRPr="001B655C">
        <w:t xml:space="preserve">new </w:t>
      </w:r>
      <w:r w:rsidRPr="00290F5C">
        <w:t>programmes</w:t>
      </w:r>
      <w:r w:rsidR="00B0031A" w:rsidRPr="001B655C">
        <w:t xml:space="preserve"> and modules</w:t>
      </w:r>
    </w:p>
    <w:p w:rsidR="00B0031A" w:rsidRPr="001B655C" w:rsidRDefault="0073253B" w:rsidP="00424580">
      <w:pPr>
        <w:pStyle w:val="CoPbullet"/>
        <w:numPr>
          <w:ilvl w:val="2"/>
          <w:numId w:val="17"/>
        </w:numPr>
        <w:ind w:hanging="567"/>
      </w:pPr>
      <w:r w:rsidRPr="001B655C">
        <w:t xml:space="preserve">major </w:t>
      </w:r>
      <w:r w:rsidRPr="00290F5C">
        <w:t>modifications</w:t>
      </w:r>
      <w:r w:rsidRPr="001B655C">
        <w:t xml:space="preserve"> to existing programmes</w:t>
      </w:r>
      <w:r w:rsidR="00B0031A" w:rsidRPr="001B655C">
        <w:t xml:space="preserve"> and modules</w:t>
      </w:r>
    </w:p>
    <w:p w:rsidR="00D3300C" w:rsidRPr="00000EBB" w:rsidRDefault="00B0031A" w:rsidP="00424580">
      <w:pPr>
        <w:pStyle w:val="CoPbullet"/>
        <w:numPr>
          <w:ilvl w:val="2"/>
          <w:numId w:val="17"/>
        </w:numPr>
        <w:ind w:hanging="567"/>
        <w:rPr>
          <w:rFonts w:eastAsia="Times New Roman"/>
          <w:color w:val="000000"/>
        </w:rPr>
      </w:pPr>
      <w:r w:rsidRPr="001B655C">
        <w:t>minor</w:t>
      </w:r>
      <w:r w:rsidRPr="00000EBB">
        <w:rPr>
          <w:rFonts w:eastAsia="Times New Roman"/>
          <w:color w:val="000000"/>
        </w:rPr>
        <w:t xml:space="preserve"> </w:t>
      </w:r>
      <w:r w:rsidRPr="00290F5C">
        <w:t>modifications</w:t>
      </w:r>
      <w:r w:rsidRPr="00000EBB">
        <w:rPr>
          <w:rFonts w:eastAsia="Times New Roman"/>
          <w:color w:val="000000"/>
        </w:rPr>
        <w:t xml:space="preserve"> to </w:t>
      </w:r>
      <w:r w:rsidR="00573C82">
        <w:rPr>
          <w:rFonts w:eastAsia="Times New Roman"/>
          <w:color w:val="000000"/>
        </w:rPr>
        <w:t xml:space="preserve">existing </w:t>
      </w:r>
      <w:r w:rsidRPr="00000EBB">
        <w:rPr>
          <w:rFonts w:eastAsia="Times New Roman"/>
          <w:color w:val="000000"/>
        </w:rPr>
        <w:t>programmes and modules</w:t>
      </w:r>
      <w:r w:rsidR="0073253B" w:rsidRPr="00000EBB">
        <w:rPr>
          <w:rFonts w:eastAsia="Times New Roman"/>
          <w:color w:val="000000"/>
        </w:rPr>
        <w:t xml:space="preserve">  </w:t>
      </w:r>
    </w:p>
    <w:p w:rsidR="00797C7C" w:rsidRDefault="00797C7C">
      <w:pPr>
        <w:rPr>
          <w:rFonts w:ascii="Arial Bold" w:hAnsi="Arial Bold" w:cs="Arial" w:hint="eastAsia"/>
          <w:b/>
          <w:bCs/>
          <w:color w:val="943634" w:themeColor="accent2" w:themeShade="BF"/>
          <w:sz w:val="24"/>
          <w:szCs w:val="28"/>
          <w:highlight w:val="lightGray"/>
        </w:rPr>
      </w:pPr>
      <w:r>
        <w:rPr>
          <w:rFonts w:hint="eastAsia"/>
          <w:highlight w:val="lightGray"/>
        </w:rPr>
        <w:br w:type="page"/>
      </w:r>
    </w:p>
    <w:p w:rsidR="00ED4A53" w:rsidRPr="00A07F52" w:rsidRDefault="00ED4A53" w:rsidP="00A21773">
      <w:pPr>
        <w:pStyle w:val="CoPborderheading"/>
        <w:numPr>
          <w:ilvl w:val="0"/>
          <w:numId w:val="50"/>
        </w:numPr>
        <w:rPr>
          <w:rFonts w:hint="eastAsia"/>
        </w:rPr>
      </w:pPr>
      <w:bookmarkStart w:id="5" w:name="_Toc426547853"/>
      <w:r w:rsidRPr="00A07F52">
        <w:lastRenderedPageBreak/>
        <w:t>Roles and Responsibilities</w:t>
      </w:r>
      <w:bookmarkEnd w:id="4"/>
      <w:bookmarkEnd w:id="5"/>
    </w:p>
    <w:p w:rsidR="00D86226" w:rsidRDefault="00D3300C" w:rsidP="006462DF">
      <w:pPr>
        <w:pStyle w:val="CoPNumberlevel1"/>
        <w:numPr>
          <w:ilvl w:val="1"/>
          <w:numId w:val="50"/>
        </w:numPr>
        <w:ind w:left="709" w:hanging="709"/>
      </w:pPr>
      <w:r>
        <w:t xml:space="preserve">The </w:t>
      </w:r>
      <w:r w:rsidRPr="003B3431">
        <w:t>D</w:t>
      </w:r>
      <w:r w:rsidR="004B6C34">
        <w:t>ean</w:t>
      </w:r>
      <w:r>
        <w:t xml:space="preserve"> of Education </w:t>
      </w:r>
      <w:r w:rsidR="00C93EFD">
        <w:t>will</w:t>
      </w:r>
      <w:r w:rsidR="00D86226">
        <w:t>:</w:t>
      </w:r>
    </w:p>
    <w:p w:rsidR="00D86226" w:rsidRDefault="00D86226" w:rsidP="005E097C">
      <w:pPr>
        <w:pStyle w:val="CoPNumberlevel1"/>
        <w:numPr>
          <w:ilvl w:val="2"/>
          <w:numId w:val="50"/>
        </w:numPr>
        <w:ind w:left="1418" w:hanging="698"/>
      </w:pPr>
      <w:r>
        <w:t>A</w:t>
      </w:r>
      <w:r w:rsidR="00F2594E">
        <w:t>pprov</w:t>
      </w:r>
      <w:r w:rsidR="00C93EFD">
        <w:t>e</w:t>
      </w:r>
      <w:r w:rsidR="00F2594E">
        <w:t xml:space="preserve"> suggestion</w:t>
      </w:r>
      <w:r>
        <w:t xml:space="preserve">s for </w:t>
      </w:r>
      <w:r w:rsidR="00F2594E">
        <w:t>new programme</w:t>
      </w:r>
      <w:r>
        <w:t>s</w:t>
      </w:r>
      <w:r w:rsidR="00F2594E">
        <w:t xml:space="preserve"> as </w:t>
      </w:r>
      <w:r>
        <w:t xml:space="preserve">being </w:t>
      </w:r>
      <w:r w:rsidR="00A509FC">
        <w:t>appropriate for development</w:t>
      </w:r>
    </w:p>
    <w:p w:rsidR="00D3300C" w:rsidRDefault="00D86226" w:rsidP="005E097C">
      <w:pPr>
        <w:pStyle w:val="CoPNumberlevel1"/>
        <w:numPr>
          <w:ilvl w:val="2"/>
          <w:numId w:val="50"/>
        </w:numPr>
        <w:ind w:left="1418" w:hanging="698"/>
      </w:pPr>
      <w:r>
        <w:t>A</w:t>
      </w:r>
      <w:r w:rsidR="00F2594E">
        <w:t>pprov</w:t>
      </w:r>
      <w:r w:rsidR="00C93EFD">
        <w:t>e</w:t>
      </w:r>
      <w:r w:rsidR="00F2594E">
        <w:t xml:space="preserve"> the appointment of external r</w:t>
      </w:r>
      <w:r>
        <w:t>eviewers</w:t>
      </w:r>
      <w:r w:rsidR="00996480">
        <w:t xml:space="preserve"> for programme approval</w:t>
      </w:r>
    </w:p>
    <w:p w:rsidR="00996480" w:rsidRDefault="00996480" w:rsidP="005E097C">
      <w:pPr>
        <w:pStyle w:val="CoPNumberlevel1"/>
        <w:numPr>
          <w:ilvl w:val="2"/>
          <w:numId w:val="50"/>
        </w:numPr>
        <w:ind w:left="1418" w:hanging="698"/>
      </w:pPr>
      <w:r>
        <w:t xml:space="preserve">Recommend to </w:t>
      </w:r>
      <w:r w:rsidR="008A4EEB">
        <w:t xml:space="preserve">the </w:t>
      </w:r>
      <w:r>
        <w:t>Management Committee appropriate external reviewers for periodic review</w:t>
      </w:r>
    </w:p>
    <w:p w:rsidR="00D3300C" w:rsidRDefault="00F26CEE" w:rsidP="006462DF">
      <w:pPr>
        <w:pStyle w:val="CoPNumberlevel1"/>
        <w:numPr>
          <w:ilvl w:val="1"/>
          <w:numId w:val="50"/>
        </w:numPr>
        <w:ind w:left="709" w:hanging="709"/>
      </w:pPr>
      <w:r>
        <w:t>The P</w:t>
      </w:r>
      <w:r w:rsidR="00D3300C">
        <w:t xml:space="preserve">roposer </w:t>
      </w:r>
      <w:r>
        <w:t xml:space="preserve">of a new programme or module </w:t>
      </w:r>
      <w:r w:rsidR="00C93EFD">
        <w:t>will</w:t>
      </w:r>
      <w:r w:rsidR="00D3300C">
        <w:t xml:space="preserve"> </w:t>
      </w:r>
      <w:r w:rsidR="00D86226">
        <w:t>prepar</w:t>
      </w:r>
      <w:r w:rsidR="00C93EFD">
        <w:t>e</w:t>
      </w:r>
      <w:r w:rsidR="00D86226">
        <w:t xml:space="preserve"> and </w:t>
      </w:r>
      <w:r w:rsidR="00D3300C">
        <w:t xml:space="preserve">submit the </w:t>
      </w:r>
      <w:r w:rsidR="00205BF2">
        <w:t>a</w:t>
      </w:r>
      <w:r w:rsidR="00D3300C">
        <w:t>pproval documentation.</w:t>
      </w:r>
    </w:p>
    <w:p w:rsidR="00D3300C" w:rsidRDefault="00D3300C" w:rsidP="006462DF">
      <w:pPr>
        <w:pStyle w:val="CoPNumberlevel1"/>
        <w:numPr>
          <w:ilvl w:val="1"/>
          <w:numId w:val="50"/>
        </w:numPr>
        <w:ind w:left="709" w:hanging="709"/>
        <w:rPr>
          <w:color w:val="000000"/>
        </w:rPr>
      </w:pPr>
      <w:r w:rsidRPr="00FE580B">
        <w:rPr>
          <w:rFonts w:eastAsia="Times New Roman"/>
          <w:color w:val="000000"/>
        </w:rPr>
        <w:t>The</w:t>
      </w:r>
      <w:r>
        <w:rPr>
          <w:color w:val="000000"/>
        </w:rPr>
        <w:t xml:space="preserve"> </w:t>
      </w:r>
      <w:r w:rsidRPr="00852819">
        <w:t>Programmes</w:t>
      </w:r>
      <w:r>
        <w:rPr>
          <w:color w:val="000000"/>
        </w:rPr>
        <w:t xml:space="preserve"> Board </w:t>
      </w:r>
      <w:r w:rsidR="00205BF2">
        <w:rPr>
          <w:color w:val="000000"/>
        </w:rPr>
        <w:t xml:space="preserve">will </w:t>
      </w:r>
      <w:r>
        <w:rPr>
          <w:color w:val="000000"/>
        </w:rPr>
        <w:t>review</w:t>
      </w:r>
      <w:r w:rsidR="00205BF2">
        <w:rPr>
          <w:color w:val="000000"/>
        </w:rPr>
        <w:t xml:space="preserve"> </w:t>
      </w:r>
      <w:r>
        <w:rPr>
          <w:color w:val="000000"/>
        </w:rPr>
        <w:t>the a</w:t>
      </w:r>
      <w:r w:rsidRPr="002E534E">
        <w:t xml:space="preserve">cademic rationale, market need, </w:t>
      </w:r>
      <w:r w:rsidR="00F26CEE">
        <w:t xml:space="preserve">and the relationship of proposed new modules and </w:t>
      </w:r>
      <w:r w:rsidRPr="002E534E">
        <w:t>programme</w:t>
      </w:r>
      <w:r w:rsidR="00F26CEE">
        <w:t>s</w:t>
      </w:r>
      <w:r w:rsidRPr="002E534E">
        <w:t xml:space="preserve"> to t</w:t>
      </w:r>
      <w:r>
        <w:t xml:space="preserve">he overall education </w:t>
      </w:r>
      <w:r w:rsidR="00205BF2">
        <w:t xml:space="preserve">and training </w:t>
      </w:r>
      <w:r>
        <w:t>portfolio</w:t>
      </w:r>
      <w:r w:rsidR="00205BF2">
        <w:t xml:space="preserve"> and make a recommendation to </w:t>
      </w:r>
      <w:r w:rsidR="00C935D4">
        <w:t xml:space="preserve">the </w:t>
      </w:r>
      <w:r w:rsidR="00205BF2">
        <w:t>Learn</w:t>
      </w:r>
      <w:r w:rsidR="00C935D4">
        <w:t xml:space="preserve">ing &amp; Teaching (L&amp;T) </w:t>
      </w:r>
      <w:r w:rsidR="00A509FC">
        <w:t>Committee.</w:t>
      </w:r>
    </w:p>
    <w:p w:rsidR="00BF0675" w:rsidRDefault="00D3300C" w:rsidP="006462DF">
      <w:pPr>
        <w:pStyle w:val="CoPNumberlevel1"/>
        <w:numPr>
          <w:ilvl w:val="1"/>
          <w:numId w:val="50"/>
        </w:numPr>
        <w:ind w:left="709" w:hanging="709"/>
      </w:pPr>
      <w:r>
        <w:t xml:space="preserve">The Learning &amp; Teaching Committee </w:t>
      </w:r>
      <w:r w:rsidR="00205BF2">
        <w:t>will:</w:t>
      </w:r>
    </w:p>
    <w:p w:rsidR="00BF0675" w:rsidRDefault="00797C7C" w:rsidP="005E097C">
      <w:pPr>
        <w:pStyle w:val="CoPNumberlevel1"/>
        <w:numPr>
          <w:ilvl w:val="2"/>
          <w:numId w:val="50"/>
        </w:numPr>
        <w:ind w:left="1418" w:hanging="698"/>
      </w:pPr>
      <w:r>
        <w:t>Consider</w:t>
      </w:r>
      <w:r w:rsidR="00362622">
        <w:t xml:space="preserve"> the strategic fit of the proposed programme and review</w:t>
      </w:r>
      <w:r w:rsidR="00205BF2">
        <w:t xml:space="preserve"> </w:t>
      </w:r>
      <w:r w:rsidR="00D3300C">
        <w:t xml:space="preserve">the </w:t>
      </w:r>
      <w:r w:rsidR="00CC6DB2">
        <w:t xml:space="preserve">proposed </w:t>
      </w:r>
      <w:r w:rsidR="00D3300C">
        <w:t>budget</w:t>
      </w:r>
      <w:r w:rsidR="00BF0675">
        <w:t xml:space="preserve"> in terms of sustainability and financial return to LSTM</w:t>
      </w:r>
    </w:p>
    <w:p w:rsidR="00D86226" w:rsidRDefault="00D91429" w:rsidP="005E097C">
      <w:pPr>
        <w:pStyle w:val="CoPNumberlevel1"/>
        <w:numPr>
          <w:ilvl w:val="2"/>
          <w:numId w:val="50"/>
        </w:numPr>
        <w:ind w:left="1418" w:hanging="698"/>
      </w:pPr>
      <w:r w:rsidRPr="00D91429">
        <w:t xml:space="preserve">Recommend to </w:t>
      </w:r>
      <w:r w:rsidR="008A4EEB">
        <w:t xml:space="preserve">the </w:t>
      </w:r>
      <w:r w:rsidR="00F51CBA" w:rsidRPr="00D91429">
        <w:t>M</w:t>
      </w:r>
      <w:r w:rsidRPr="00D91429">
        <w:t xml:space="preserve">anagement </w:t>
      </w:r>
      <w:r w:rsidR="00F51CBA" w:rsidRPr="00D91429">
        <w:t>C</w:t>
      </w:r>
      <w:r w:rsidRPr="00D91429">
        <w:t xml:space="preserve">ommittee </w:t>
      </w:r>
      <w:r w:rsidR="00CC6DB2">
        <w:t xml:space="preserve">that </w:t>
      </w:r>
      <w:r w:rsidR="00C935D4">
        <w:t xml:space="preserve">a </w:t>
      </w:r>
      <w:r w:rsidR="00362622">
        <w:t xml:space="preserve">full </w:t>
      </w:r>
      <w:r w:rsidR="00C935D4">
        <w:t>programme</w:t>
      </w:r>
      <w:r w:rsidRPr="00D91429">
        <w:t xml:space="preserve"> </w:t>
      </w:r>
      <w:r w:rsidR="00362622">
        <w:t xml:space="preserve">proposal be developed and </w:t>
      </w:r>
      <w:r w:rsidR="00CC6DB2">
        <w:t xml:space="preserve">that it </w:t>
      </w:r>
      <w:r w:rsidRPr="00D91429">
        <w:t xml:space="preserve">be sent </w:t>
      </w:r>
      <w:r w:rsidR="00BF0675" w:rsidRPr="00D91429">
        <w:t xml:space="preserve">for scrutiny </w:t>
      </w:r>
      <w:r w:rsidR="00D3300C" w:rsidRPr="00D91429">
        <w:t xml:space="preserve">by </w:t>
      </w:r>
      <w:r w:rsidR="008A4EEB">
        <w:t xml:space="preserve">the </w:t>
      </w:r>
      <w:r w:rsidR="00D3300C" w:rsidRPr="00D91429">
        <w:t>Qu</w:t>
      </w:r>
      <w:r w:rsidR="00D3300C">
        <w:t xml:space="preserve">ality Management Committee </w:t>
      </w:r>
      <w:r w:rsidR="00D86226">
        <w:t>(QMC)</w:t>
      </w:r>
    </w:p>
    <w:p w:rsidR="00D3300C" w:rsidRDefault="00D86226" w:rsidP="005E097C">
      <w:pPr>
        <w:pStyle w:val="CoPNumberlevel1"/>
        <w:numPr>
          <w:ilvl w:val="2"/>
          <w:numId w:val="50"/>
        </w:numPr>
        <w:ind w:left="1418" w:hanging="698"/>
      </w:pPr>
      <w:r>
        <w:t xml:space="preserve">Recommend </w:t>
      </w:r>
      <w:r w:rsidR="00CC6DB2">
        <w:t xml:space="preserve">to the Management Committee that </w:t>
      </w:r>
      <w:r w:rsidR="0072606F">
        <w:t xml:space="preserve">new </w:t>
      </w:r>
      <w:r w:rsidR="00C935D4">
        <w:t>programme</w:t>
      </w:r>
      <w:r w:rsidR="0072606F">
        <w:t>s and major modifications to programmes</w:t>
      </w:r>
      <w:r w:rsidR="00D3300C">
        <w:t xml:space="preserve"> </w:t>
      </w:r>
      <w:r w:rsidR="00CC6DB2">
        <w:t xml:space="preserve">endorsed </w:t>
      </w:r>
      <w:r>
        <w:t xml:space="preserve">by </w:t>
      </w:r>
      <w:r w:rsidR="008A4EEB">
        <w:t xml:space="preserve">the </w:t>
      </w:r>
      <w:r>
        <w:t xml:space="preserve">QMC </w:t>
      </w:r>
      <w:r w:rsidR="0072606F">
        <w:t xml:space="preserve">are </w:t>
      </w:r>
      <w:r w:rsidR="00CC6DB2">
        <w:t xml:space="preserve">given </w:t>
      </w:r>
      <w:r>
        <w:t>final approval</w:t>
      </w:r>
    </w:p>
    <w:p w:rsidR="0089451A" w:rsidRDefault="0089451A" w:rsidP="005E097C">
      <w:pPr>
        <w:pStyle w:val="CoPNumberlevel1"/>
        <w:numPr>
          <w:ilvl w:val="2"/>
          <w:numId w:val="50"/>
        </w:numPr>
        <w:ind w:left="1418" w:hanging="698"/>
      </w:pPr>
      <w:r>
        <w:t xml:space="preserve">Approve new modules </w:t>
      </w:r>
      <w:r w:rsidR="004371F7">
        <w:t xml:space="preserve">and major modifications to modules </w:t>
      </w:r>
      <w:r>
        <w:t>upon the recommendation of the QMC</w:t>
      </w:r>
    </w:p>
    <w:p w:rsidR="00E84EE2" w:rsidRDefault="00E84EE2" w:rsidP="005E097C">
      <w:pPr>
        <w:pStyle w:val="CoPNumberlevel1"/>
        <w:numPr>
          <w:ilvl w:val="2"/>
          <w:numId w:val="50"/>
        </w:numPr>
        <w:ind w:left="1418" w:hanging="698"/>
      </w:pPr>
      <w:r>
        <w:t xml:space="preserve">Review annually the financial sustainability, resourcing and trends in student recruitment for all programmes and make recommendations to </w:t>
      </w:r>
      <w:r w:rsidR="008A4EEB">
        <w:t xml:space="preserve">the </w:t>
      </w:r>
      <w:r>
        <w:t>Management Committee regarding programme continuation, suspension or closure</w:t>
      </w:r>
    </w:p>
    <w:p w:rsidR="00D86226" w:rsidRDefault="00D3300C" w:rsidP="006462DF">
      <w:pPr>
        <w:pStyle w:val="CoPNumberlevel1"/>
        <w:numPr>
          <w:ilvl w:val="1"/>
          <w:numId w:val="50"/>
        </w:numPr>
        <w:ind w:left="709" w:hanging="709"/>
      </w:pPr>
      <w:r>
        <w:t xml:space="preserve">The Quality Management Committee </w:t>
      </w:r>
      <w:r w:rsidR="00D86226">
        <w:t>will:</w:t>
      </w:r>
    </w:p>
    <w:p w:rsidR="00D86226" w:rsidRDefault="00A17FD8" w:rsidP="005E097C">
      <w:pPr>
        <w:pStyle w:val="CoPNumberlevel1"/>
        <w:numPr>
          <w:ilvl w:val="2"/>
          <w:numId w:val="50"/>
        </w:numPr>
        <w:ind w:left="1418" w:hanging="698"/>
      </w:pPr>
      <w:r>
        <w:t xml:space="preserve">Review proposed </w:t>
      </w:r>
      <w:r w:rsidR="0089451A">
        <w:t xml:space="preserve">new </w:t>
      </w:r>
      <w:r w:rsidR="00D3300C">
        <w:t>programmes</w:t>
      </w:r>
      <w:r w:rsidR="005E2D97">
        <w:t xml:space="preserve"> and </w:t>
      </w:r>
      <w:r>
        <w:t>major modifications to programmes and make recommendations to the L&amp;T Committee</w:t>
      </w:r>
    </w:p>
    <w:p w:rsidR="00797C7C" w:rsidRDefault="00797C7C" w:rsidP="005E097C">
      <w:pPr>
        <w:pStyle w:val="CoPNumberlevel1"/>
        <w:numPr>
          <w:ilvl w:val="2"/>
          <w:numId w:val="50"/>
        </w:numPr>
        <w:ind w:left="1418" w:hanging="698"/>
      </w:pPr>
      <w:r>
        <w:t xml:space="preserve">Review </w:t>
      </w:r>
      <w:r w:rsidR="00A17FD8">
        <w:t xml:space="preserve">new </w:t>
      </w:r>
      <w:r>
        <w:t xml:space="preserve">modules and </w:t>
      </w:r>
      <w:r w:rsidR="00A17FD8">
        <w:t xml:space="preserve">major modifications to modules and </w:t>
      </w:r>
      <w:r>
        <w:t>make recommendations to the L&amp;T Committee</w:t>
      </w:r>
    </w:p>
    <w:p w:rsidR="003533D7" w:rsidRDefault="003533D7" w:rsidP="005E097C">
      <w:pPr>
        <w:pStyle w:val="CoPNumberlevel1"/>
        <w:numPr>
          <w:ilvl w:val="2"/>
          <w:numId w:val="50"/>
        </w:numPr>
        <w:ind w:left="1418" w:hanging="698"/>
      </w:pPr>
      <w:r>
        <w:t>Approve minor modifications to programmes and modules</w:t>
      </w:r>
    </w:p>
    <w:p w:rsidR="00C80E8D" w:rsidRDefault="00573C82" w:rsidP="005E097C">
      <w:pPr>
        <w:pStyle w:val="CoPNumberlevel1"/>
        <w:numPr>
          <w:ilvl w:val="2"/>
          <w:numId w:val="50"/>
        </w:numPr>
        <w:ind w:left="1418" w:hanging="698"/>
      </w:pPr>
      <w:r>
        <w:lastRenderedPageBreak/>
        <w:t>Scrutinise Annual Programme Reviews</w:t>
      </w:r>
    </w:p>
    <w:p w:rsidR="00996480" w:rsidRDefault="00D3300C" w:rsidP="006462DF">
      <w:pPr>
        <w:pStyle w:val="CoPNumberlevel1"/>
        <w:numPr>
          <w:ilvl w:val="1"/>
          <w:numId w:val="50"/>
        </w:numPr>
        <w:ind w:left="709" w:hanging="709"/>
      </w:pPr>
      <w:r w:rsidRPr="00FE580B">
        <w:rPr>
          <w:rFonts w:eastAsia="Times New Roman"/>
          <w:color w:val="000000"/>
        </w:rPr>
        <w:t>The</w:t>
      </w:r>
      <w:r>
        <w:t xml:space="preserve"> Management Committee </w:t>
      </w:r>
      <w:r w:rsidR="00C016B8">
        <w:t>will</w:t>
      </w:r>
      <w:r w:rsidR="00996480">
        <w:t>:</w:t>
      </w:r>
    </w:p>
    <w:p w:rsidR="004371F7" w:rsidRDefault="00C016B8" w:rsidP="005E097C">
      <w:pPr>
        <w:pStyle w:val="CoPNumberlevel1"/>
        <w:numPr>
          <w:ilvl w:val="2"/>
          <w:numId w:val="50"/>
        </w:numPr>
        <w:ind w:left="1418" w:hanging="698"/>
      </w:pPr>
      <w:r>
        <w:t xml:space="preserve">Grant </w:t>
      </w:r>
      <w:r w:rsidR="004371F7">
        <w:t>approval to develop a programme</w:t>
      </w:r>
    </w:p>
    <w:p w:rsidR="00996480" w:rsidRDefault="004371F7" w:rsidP="005E097C">
      <w:pPr>
        <w:pStyle w:val="CoPNumberlevel1"/>
        <w:numPr>
          <w:ilvl w:val="2"/>
          <w:numId w:val="50"/>
        </w:numPr>
        <w:ind w:left="1418" w:hanging="698"/>
      </w:pPr>
      <w:r>
        <w:t xml:space="preserve">Grant </w:t>
      </w:r>
      <w:r w:rsidR="00D3300C">
        <w:t>f</w:t>
      </w:r>
      <w:r w:rsidR="00D91429">
        <w:t xml:space="preserve">inal </w:t>
      </w:r>
      <w:r w:rsidR="00D3300C">
        <w:t>approv</w:t>
      </w:r>
      <w:r w:rsidR="00C80E8D">
        <w:t>al of new programmes</w:t>
      </w:r>
    </w:p>
    <w:p w:rsidR="00996480" w:rsidRDefault="00996480" w:rsidP="005E097C">
      <w:pPr>
        <w:pStyle w:val="CoPNumberlevel1"/>
        <w:numPr>
          <w:ilvl w:val="2"/>
          <w:numId w:val="50"/>
        </w:numPr>
        <w:ind w:left="1418" w:hanging="698"/>
      </w:pPr>
      <w:r>
        <w:t>Approv</w:t>
      </w:r>
      <w:r w:rsidR="00C016B8">
        <w:t>e</w:t>
      </w:r>
      <w:r>
        <w:t xml:space="preserve"> </w:t>
      </w:r>
      <w:r w:rsidR="000F25F7">
        <w:t xml:space="preserve">programme </w:t>
      </w:r>
      <w:r w:rsidR="00E84EE2">
        <w:t xml:space="preserve">continuation, suspensions and </w:t>
      </w:r>
      <w:r w:rsidR="000F25F7">
        <w:t>closure</w:t>
      </w:r>
      <w:r>
        <w:t>s</w:t>
      </w:r>
    </w:p>
    <w:p w:rsidR="00D3300C" w:rsidRDefault="00996480" w:rsidP="005E097C">
      <w:pPr>
        <w:pStyle w:val="CoPNumberlevel1"/>
        <w:numPr>
          <w:ilvl w:val="2"/>
          <w:numId w:val="50"/>
        </w:numPr>
        <w:ind w:left="1418" w:hanging="698"/>
      </w:pPr>
      <w:r>
        <w:t>Approv</w:t>
      </w:r>
      <w:r w:rsidR="00C016B8">
        <w:t>e</w:t>
      </w:r>
      <w:r>
        <w:t xml:space="preserve"> external reviewers for periodic review</w:t>
      </w:r>
    </w:p>
    <w:p w:rsidR="00044E88" w:rsidRDefault="00D80D08" w:rsidP="006462DF">
      <w:pPr>
        <w:pStyle w:val="CoPNumberlevel1"/>
        <w:numPr>
          <w:ilvl w:val="1"/>
          <w:numId w:val="50"/>
        </w:numPr>
        <w:ind w:left="709" w:hanging="709"/>
      </w:pPr>
      <w:r>
        <w:t xml:space="preserve">The </w:t>
      </w:r>
      <w:r w:rsidR="00044E88" w:rsidRPr="006462DF">
        <w:t>Director</w:t>
      </w:r>
      <w:r w:rsidR="00044E88">
        <w:t xml:space="preserve"> of Studies </w:t>
      </w:r>
      <w:r>
        <w:t xml:space="preserve">for a programme </w:t>
      </w:r>
      <w:r w:rsidR="00C016B8">
        <w:t>will</w:t>
      </w:r>
      <w:r w:rsidR="00044E88">
        <w:t xml:space="preserve"> produc</w:t>
      </w:r>
      <w:r w:rsidR="00C016B8">
        <w:t>e</w:t>
      </w:r>
      <w:r w:rsidR="00044E88">
        <w:t xml:space="preserve"> the A</w:t>
      </w:r>
      <w:r w:rsidR="00717B62">
        <w:t xml:space="preserve">nnual Programme </w:t>
      </w:r>
      <w:r w:rsidR="00573C82">
        <w:t xml:space="preserve">Review </w:t>
      </w:r>
      <w:r w:rsidR="001D5966">
        <w:t>in discussion with the programme teaching team</w:t>
      </w:r>
    </w:p>
    <w:p w:rsidR="00717B62" w:rsidRDefault="00717B62" w:rsidP="006462DF">
      <w:pPr>
        <w:pStyle w:val="CoPNumberlevel1"/>
        <w:numPr>
          <w:ilvl w:val="1"/>
          <w:numId w:val="50"/>
        </w:numPr>
        <w:ind w:left="709" w:hanging="709"/>
      </w:pPr>
      <w:r>
        <w:t xml:space="preserve">The Module Convenor will produce the Annual Module Review </w:t>
      </w:r>
      <w:r w:rsidR="001D5966">
        <w:t>in discussion with the module teaching team.</w:t>
      </w:r>
    </w:p>
    <w:p w:rsidR="002A6A6E" w:rsidRDefault="00454A94" w:rsidP="006462DF">
      <w:pPr>
        <w:pStyle w:val="CoPNumberlevel1"/>
        <w:numPr>
          <w:ilvl w:val="1"/>
          <w:numId w:val="50"/>
        </w:numPr>
        <w:ind w:left="709" w:hanging="709"/>
      </w:pPr>
      <w:r>
        <w:t xml:space="preserve">The Board of Studies </w:t>
      </w:r>
      <w:r w:rsidR="00C016B8">
        <w:t>will</w:t>
      </w:r>
      <w:r w:rsidR="00717B62">
        <w:t xml:space="preserve"> discuss the Annual Programme and Module Reviews, including in-principle agreement to any </w:t>
      </w:r>
      <w:r w:rsidR="00573C82">
        <w:t xml:space="preserve">proposed </w:t>
      </w:r>
      <w:r w:rsidR="00717B62">
        <w:t>modifications.</w:t>
      </w:r>
    </w:p>
    <w:p w:rsidR="00D3300C" w:rsidRPr="00AD557A" w:rsidRDefault="00D3300C" w:rsidP="00A21773">
      <w:pPr>
        <w:pStyle w:val="CoPborderheading"/>
        <w:numPr>
          <w:ilvl w:val="0"/>
          <w:numId w:val="50"/>
        </w:numPr>
        <w:rPr>
          <w:rFonts w:hint="eastAsia"/>
        </w:rPr>
      </w:pPr>
      <w:bookmarkStart w:id="6" w:name="_Toc426547854"/>
      <w:r w:rsidRPr="00AD557A">
        <w:t>Programme Approval</w:t>
      </w:r>
      <w:r w:rsidR="00AC575C">
        <w:t xml:space="preserve"> and Design</w:t>
      </w:r>
      <w:bookmarkEnd w:id="6"/>
    </w:p>
    <w:p w:rsidR="00B5723C" w:rsidRPr="002E534E" w:rsidRDefault="00B5723C" w:rsidP="006462DF">
      <w:pPr>
        <w:pStyle w:val="CoPNumberlevel1"/>
        <w:numPr>
          <w:ilvl w:val="1"/>
          <w:numId w:val="50"/>
        </w:numPr>
        <w:ind w:left="709" w:hanging="709"/>
      </w:pPr>
      <w:r w:rsidRPr="00FE580B">
        <w:rPr>
          <w:rFonts w:eastAsia="Times New Roman"/>
          <w:color w:val="000000"/>
        </w:rPr>
        <w:t>T</w:t>
      </w:r>
      <w:r w:rsidRPr="00FE580B">
        <w:rPr>
          <w:rFonts w:eastAsia="Times New Roman"/>
          <w:color w:val="000000"/>
          <w:spacing w:val="1"/>
        </w:rPr>
        <w:t>h</w:t>
      </w:r>
      <w:r w:rsidRPr="00FE580B">
        <w:rPr>
          <w:rFonts w:eastAsia="Times New Roman"/>
          <w:color w:val="000000"/>
        </w:rPr>
        <w:t>e</w:t>
      </w:r>
      <w:r w:rsidRPr="002E534E">
        <w:rPr>
          <w:spacing w:val="-3"/>
        </w:rPr>
        <w:t xml:space="preserve"> </w:t>
      </w:r>
      <w:r w:rsidRPr="002E534E">
        <w:rPr>
          <w:spacing w:val="1"/>
        </w:rPr>
        <w:t>pu</w:t>
      </w:r>
      <w:r w:rsidRPr="002E534E">
        <w:t>r</w:t>
      </w:r>
      <w:r w:rsidRPr="002E534E">
        <w:rPr>
          <w:spacing w:val="1"/>
        </w:rPr>
        <w:t>p</w:t>
      </w:r>
      <w:r w:rsidRPr="002E534E">
        <w:t>ose</w:t>
      </w:r>
      <w:r w:rsidRPr="002E534E">
        <w:rPr>
          <w:spacing w:val="-7"/>
        </w:rPr>
        <w:t xml:space="preserve"> </w:t>
      </w:r>
      <w:r w:rsidRPr="002E534E">
        <w:rPr>
          <w:spacing w:val="1"/>
        </w:rPr>
        <w:t>o</w:t>
      </w:r>
      <w:r>
        <w:t>f the programme approval and design process</w:t>
      </w:r>
      <w:r w:rsidRPr="002E534E">
        <w:rPr>
          <w:spacing w:val="-4"/>
        </w:rPr>
        <w:t xml:space="preserve"> </w:t>
      </w:r>
      <w:r w:rsidRPr="002E534E">
        <w:rPr>
          <w:spacing w:val="2"/>
        </w:rPr>
        <w:t>i</w:t>
      </w:r>
      <w:r w:rsidRPr="002E534E">
        <w:t>s</w:t>
      </w:r>
      <w:r w:rsidRPr="002E534E">
        <w:rPr>
          <w:spacing w:val="-2"/>
        </w:rPr>
        <w:t xml:space="preserve"> </w:t>
      </w:r>
      <w:r w:rsidRPr="002E534E">
        <w:t>to e</w:t>
      </w:r>
      <w:r w:rsidRPr="002E534E">
        <w:rPr>
          <w:spacing w:val="1"/>
        </w:rPr>
        <w:t>n</w:t>
      </w:r>
      <w:r w:rsidRPr="002E534E">
        <w:t>s</w:t>
      </w:r>
      <w:r w:rsidRPr="002E534E">
        <w:rPr>
          <w:spacing w:val="1"/>
        </w:rPr>
        <w:t>u</w:t>
      </w:r>
      <w:r w:rsidRPr="002E534E">
        <w:t>re</w:t>
      </w:r>
      <w:r w:rsidRPr="002E534E">
        <w:rPr>
          <w:spacing w:val="-6"/>
        </w:rPr>
        <w:t xml:space="preserve"> </w:t>
      </w:r>
      <w:r w:rsidRPr="002E534E">
        <w:rPr>
          <w:spacing w:val="1"/>
        </w:rPr>
        <w:t>tha</w:t>
      </w:r>
      <w:r w:rsidRPr="002E534E">
        <w:t>t:</w:t>
      </w:r>
    </w:p>
    <w:p w:rsidR="00B5723C" w:rsidRPr="002E534E" w:rsidRDefault="00892EC1" w:rsidP="005E097C">
      <w:pPr>
        <w:pStyle w:val="CoPNumberlevel1"/>
        <w:numPr>
          <w:ilvl w:val="2"/>
          <w:numId w:val="50"/>
        </w:numPr>
        <w:ind w:left="1418" w:hanging="698"/>
      </w:pPr>
      <w:r>
        <w:t>T</w:t>
      </w:r>
      <w:r w:rsidR="00B5723C" w:rsidRPr="002E534E">
        <w:t>hreshold academic standards are maintained</w:t>
      </w:r>
    </w:p>
    <w:p w:rsidR="00B5723C" w:rsidRPr="002E534E" w:rsidRDefault="00892EC1" w:rsidP="005E097C">
      <w:pPr>
        <w:pStyle w:val="CoPNumberlevel1"/>
        <w:numPr>
          <w:ilvl w:val="2"/>
          <w:numId w:val="50"/>
        </w:numPr>
        <w:ind w:left="1418" w:hanging="698"/>
      </w:pPr>
      <w:r>
        <w:t>S</w:t>
      </w:r>
      <w:r w:rsidR="00B5723C" w:rsidRPr="002E534E">
        <w:t>tudents receive high quality learning opportunities</w:t>
      </w:r>
    </w:p>
    <w:p w:rsidR="00B5723C" w:rsidRPr="002E534E" w:rsidRDefault="00892EC1" w:rsidP="005E097C">
      <w:pPr>
        <w:pStyle w:val="CoPNumberlevel1"/>
        <w:numPr>
          <w:ilvl w:val="2"/>
          <w:numId w:val="50"/>
        </w:numPr>
        <w:ind w:left="1418" w:hanging="698"/>
      </w:pPr>
      <w:r>
        <w:t>C</w:t>
      </w:r>
      <w:r w:rsidR="00B5723C" w:rsidRPr="002E534E">
        <w:t>onsideration is given to the availability of resources</w:t>
      </w:r>
    </w:p>
    <w:p w:rsidR="00B5723C" w:rsidRPr="002E534E" w:rsidRDefault="00892EC1" w:rsidP="005E097C">
      <w:pPr>
        <w:pStyle w:val="CoPNumberlevel1"/>
        <w:numPr>
          <w:ilvl w:val="2"/>
          <w:numId w:val="50"/>
        </w:numPr>
        <w:ind w:left="1418" w:hanging="698"/>
      </w:pPr>
      <w:r>
        <w:t>P</w:t>
      </w:r>
      <w:r w:rsidR="00B5723C" w:rsidRPr="002E534E">
        <w:t>roposals for new programmes are relevant, compatible with other programmes offered and cons</w:t>
      </w:r>
      <w:r>
        <w:t>istent with LSTM’s mission and S</w:t>
      </w:r>
      <w:r w:rsidR="00B5723C" w:rsidRPr="002E534E">
        <w:t>trateg</w:t>
      </w:r>
      <w:r>
        <w:t>ic Plan</w:t>
      </w:r>
    </w:p>
    <w:p w:rsidR="00892EC1" w:rsidRDefault="00892EC1" w:rsidP="005E097C">
      <w:pPr>
        <w:pStyle w:val="CoPNumberlevel1"/>
        <w:numPr>
          <w:ilvl w:val="2"/>
          <w:numId w:val="50"/>
        </w:numPr>
        <w:ind w:left="1418" w:hanging="698"/>
      </w:pPr>
      <w:r>
        <w:t>T</w:t>
      </w:r>
      <w:r w:rsidR="00B5723C" w:rsidRPr="00185096">
        <w:t xml:space="preserve">he </w:t>
      </w:r>
      <w:r w:rsidR="00B5723C" w:rsidRPr="002E534E">
        <w:t>approach</w:t>
      </w:r>
      <w:r w:rsidR="00B5723C" w:rsidRPr="00185096">
        <w:t xml:space="preserve"> use</w:t>
      </w:r>
      <w:r w:rsidR="00B5723C" w:rsidRPr="002E534E">
        <w:t>d to approve new and amended programmes is proportionate to the risk inherent in the nature of a particular proposal</w:t>
      </w:r>
    </w:p>
    <w:p w:rsidR="00D3300C" w:rsidRPr="00A977FD" w:rsidRDefault="00892EC1" w:rsidP="005E097C">
      <w:pPr>
        <w:pStyle w:val="CoPNumberlevel1"/>
        <w:numPr>
          <w:ilvl w:val="2"/>
          <w:numId w:val="50"/>
        </w:numPr>
        <w:ind w:left="1418" w:hanging="698"/>
      </w:pPr>
      <w:r>
        <w:t xml:space="preserve">The </w:t>
      </w:r>
      <w:r w:rsidR="00D3300C" w:rsidRPr="00A977FD">
        <w:t xml:space="preserve">decision to approve </w:t>
      </w:r>
      <w:r>
        <w:t xml:space="preserve">a </w:t>
      </w:r>
      <w:r w:rsidR="00D3300C" w:rsidRPr="00A977FD">
        <w:t>programme</w:t>
      </w:r>
      <w:r>
        <w:t xml:space="preserve"> is </w:t>
      </w:r>
      <w:r w:rsidR="00D3300C" w:rsidRPr="00A977FD">
        <w:t xml:space="preserve">informed by both </w:t>
      </w:r>
      <w:r w:rsidR="002E0A53">
        <w:t xml:space="preserve">the </w:t>
      </w:r>
      <w:r w:rsidR="00D3300C" w:rsidRPr="00A977FD">
        <w:t xml:space="preserve">business case and </w:t>
      </w:r>
      <w:r w:rsidR="002E0A53">
        <w:t>the academic merit of the proposal</w:t>
      </w:r>
    </w:p>
    <w:p w:rsidR="009032A2" w:rsidRDefault="009032A2">
      <w:pPr>
        <w:rPr>
          <w:rFonts w:ascii="Arial Bold" w:hAnsi="Arial Bold" w:cs="Arial" w:hint="eastAsia"/>
          <w:b/>
          <w:bCs/>
          <w:color w:val="943634" w:themeColor="accent2" w:themeShade="BF"/>
          <w:sz w:val="24"/>
          <w:szCs w:val="28"/>
        </w:rPr>
      </w:pPr>
      <w:r>
        <w:rPr>
          <w:rFonts w:hint="eastAsia"/>
        </w:rPr>
        <w:br w:type="page"/>
      </w:r>
    </w:p>
    <w:p w:rsidR="00570FCF" w:rsidRPr="00570FCF" w:rsidRDefault="00664532" w:rsidP="009032A2">
      <w:pPr>
        <w:pStyle w:val="CoPborderheading"/>
        <w:keepNext/>
        <w:numPr>
          <w:ilvl w:val="0"/>
          <w:numId w:val="50"/>
        </w:numPr>
        <w:ind w:left="357" w:hanging="357"/>
        <w:rPr>
          <w:rFonts w:hint="eastAsia"/>
        </w:rPr>
      </w:pPr>
      <w:bookmarkStart w:id="7" w:name="_Toc426547855"/>
      <w:r>
        <w:lastRenderedPageBreak/>
        <w:t>New P</w:t>
      </w:r>
      <w:r w:rsidR="00570FCF">
        <w:t xml:space="preserve">rogrammes and </w:t>
      </w:r>
      <w:r>
        <w:t>Modifications to P</w:t>
      </w:r>
      <w:r w:rsidR="00570FCF">
        <w:t>rogrammes</w:t>
      </w:r>
      <w:bookmarkEnd w:id="7"/>
    </w:p>
    <w:p w:rsidR="00E74DF9" w:rsidRPr="0079322A" w:rsidRDefault="00E74DF9" w:rsidP="006462DF">
      <w:pPr>
        <w:pStyle w:val="CoPNumberlevel1"/>
        <w:numPr>
          <w:ilvl w:val="1"/>
          <w:numId w:val="50"/>
        </w:numPr>
        <w:ind w:left="709" w:hanging="709"/>
      </w:pPr>
      <w:r w:rsidRPr="00797C7C">
        <w:rPr>
          <w:b/>
        </w:rPr>
        <w:t>Major modifications</w:t>
      </w:r>
      <w:r w:rsidRPr="000727DB">
        <w:t xml:space="preserve"> to programmes </w:t>
      </w:r>
      <w:r>
        <w:t>a</w:t>
      </w:r>
      <w:r w:rsidRPr="000727DB">
        <w:t>r</w:t>
      </w:r>
      <w:r>
        <w:t>e</w:t>
      </w:r>
      <w:r w:rsidRPr="000727DB">
        <w:t xml:space="preserve"> </w:t>
      </w:r>
      <w:r>
        <w:t>th</w:t>
      </w:r>
      <w:r w:rsidRPr="000727DB">
        <w:t>os</w:t>
      </w:r>
      <w:r>
        <w:t>e</w:t>
      </w:r>
      <w:r w:rsidRPr="002A4652">
        <w:rPr>
          <w:spacing w:val="8"/>
        </w:rPr>
        <w:t xml:space="preserve"> </w:t>
      </w:r>
      <w:r>
        <w:t>which</w:t>
      </w:r>
      <w:r w:rsidRPr="002A4652">
        <w:rPr>
          <w:spacing w:val="6"/>
        </w:rPr>
        <w:t xml:space="preserve"> </w:t>
      </w:r>
      <w:r>
        <w:t>al</w:t>
      </w:r>
      <w:r w:rsidRPr="002A4652">
        <w:rPr>
          <w:spacing w:val="-4"/>
        </w:rPr>
        <w:t>t</w:t>
      </w:r>
      <w:r>
        <w:t>er</w:t>
      </w:r>
      <w:r w:rsidRPr="002A4652">
        <w:rPr>
          <w:spacing w:val="26"/>
        </w:rPr>
        <w:t xml:space="preserve"> </w:t>
      </w:r>
      <w:r>
        <w:t>the</w:t>
      </w:r>
      <w:r w:rsidRPr="002A4652">
        <w:rPr>
          <w:spacing w:val="12"/>
        </w:rPr>
        <w:t xml:space="preserve"> </w:t>
      </w:r>
      <w:r>
        <w:t>natu</w:t>
      </w:r>
      <w:r w:rsidRPr="002A4652">
        <w:rPr>
          <w:spacing w:val="-5"/>
        </w:rPr>
        <w:t>re</w:t>
      </w:r>
      <w:r>
        <w:t>,</w:t>
      </w:r>
      <w:r w:rsidRPr="002A4652">
        <w:rPr>
          <w:spacing w:val="16"/>
        </w:rPr>
        <w:t xml:space="preserve"> </w:t>
      </w:r>
      <w:r w:rsidRPr="002A4652">
        <w:rPr>
          <w:spacing w:val="-4"/>
          <w:w w:val="128"/>
        </w:rPr>
        <w:t>f</w:t>
      </w:r>
      <w:r>
        <w:t>oc</w:t>
      </w:r>
      <w:r w:rsidRPr="002A4652">
        <w:rPr>
          <w:w w:val="97"/>
        </w:rPr>
        <w:t xml:space="preserve">us </w:t>
      </w:r>
      <w:r w:rsidRPr="002A4652">
        <w:rPr>
          <w:w w:val="99"/>
        </w:rPr>
        <w:t>and</w:t>
      </w:r>
      <w:r w:rsidRPr="002A4652">
        <w:rPr>
          <w:spacing w:val="-3"/>
        </w:rPr>
        <w:t xml:space="preserve"> </w:t>
      </w:r>
      <w:r>
        <w:t>purp</w:t>
      </w:r>
      <w:r w:rsidRPr="002A4652">
        <w:rPr>
          <w:spacing w:val="-2"/>
        </w:rPr>
        <w:t>os</w:t>
      </w:r>
      <w:r>
        <w:t>e</w:t>
      </w:r>
      <w:r w:rsidRPr="002A4652">
        <w:rPr>
          <w:spacing w:val="2"/>
        </w:rPr>
        <w:t xml:space="preserve"> </w:t>
      </w:r>
      <w:r w:rsidRPr="002A4652">
        <w:rPr>
          <w:spacing w:val="-3"/>
          <w:w w:val="110"/>
        </w:rPr>
        <w:t>o</w:t>
      </w:r>
      <w:r w:rsidRPr="002A4652">
        <w:rPr>
          <w:w w:val="110"/>
        </w:rPr>
        <w:t>f</w:t>
      </w:r>
      <w:r w:rsidRPr="002A4652">
        <w:rPr>
          <w:spacing w:val="-8"/>
          <w:w w:val="110"/>
        </w:rPr>
        <w:t xml:space="preserve"> </w:t>
      </w:r>
      <w:r>
        <w:t>the</w:t>
      </w:r>
      <w:r w:rsidRPr="002A4652">
        <w:rPr>
          <w:spacing w:val="12"/>
        </w:rPr>
        <w:t xml:space="preserve"> </w:t>
      </w:r>
      <w:r>
        <w:t>p</w:t>
      </w:r>
      <w:r w:rsidRPr="002A4652">
        <w:rPr>
          <w:spacing w:val="-5"/>
        </w:rPr>
        <w:t>r</w:t>
      </w:r>
      <w:r>
        <w:t>og</w:t>
      </w:r>
      <w:r w:rsidRPr="002A4652">
        <w:rPr>
          <w:spacing w:val="-6"/>
        </w:rPr>
        <w:t>r</w:t>
      </w:r>
      <w:r>
        <w:t>amm</w:t>
      </w:r>
      <w:r w:rsidRPr="002A4652">
        <w:rPr>
          <w:spacing w:val="-5"/>
        </w:rPr>
        <w:t>e</w:t>
      </w:r>
      <w:r>
        <w:t>,</w:t>
      </w:r>
      <w:r w:rsidRPr="002A4652">
        <w:rPr>
          <w:spacing w:val="13"/>
        </w:rPr>
        <w:t xml:space="preserve"> </w:t>
      </w:r>
      <w:r>
        <w:t>and</w:t>
      </w:r>
      <w:r w:rsidRPr="002A4652">
        <w:rPr>
          <w:spacing w:val="-16"/>
        </w:rPr>
        <w:t>/</w:t>
      </w:r>
      <w:r>
        <w:t>or</w:t>
      </w:r>
      <w:r w:rsidRPr="002A4652">
        <w:rPr>
          <w:spacing w:val="36"/>
        </w:rPr>
        <w:t xml:space="preserve"> </w:t>
      </w:r>
      <w:r w:rsidRPr="002A4652">
        <w:rPr>
          <w:w w:val="106"/>
        </w:rPr>
        <w:t xml:space="preserve">the </w:t>
      </w:r>
      <w:r w:rsidRPr="0079322A">
        <w:t>award</w:t>
      </w:r>
      <w:r w:rsidRPr="002A4652">
        <w:rPr>
          <w:spacing w:val="4"/>
        </w:rPr>
        <w:t xml:space="preserve"> </w:t>
      </w:r>
      <w:r>
        <w:t>title</w:t>
      </w:r>
      <w:r w:rsidRPr="002A4652">
        <w:rPr>
          <w:spacing w:val="-6"/>
        </w:rPr>
        <w:t>(s</w:t>
      </w:r>
      <w:r>
        <w:t>)</w:t>
      </w:r>
      <w:r w:rsidRPr="002A4652">
        <w:rPr>
          <w:spacing w:val="34"/>
        </w:rPr>
        <w:t xml:space="preserve"> </w:t>
      </w:r>
      <w:r w:rsidRPr="002A4652">
        <w:rPr>
          <w:spacing w:val="-4"/>
          <w:w w:val="111"/>
        </w:rPr>
        <w:t>t</w:t>
      </w:r>
      <w:r w:rsidRPr="002A4652">
        <w:rPr>
          <w:w w:val="111"/>
        </w:rPr>
        <w:t>o</w:t>
      </w:r>
      <w:r w:rsidRPr="002A4652">
        <w:rPr>
          <w:spacing w:val="-7"/>
          <w:w w:val="111"/>
        </w:rPr>
        <w:t xml:space="preserve"> </w:t>
      </w:r>
      <w:r>
        <w:t>which</w:t>
      </w:r>
      <w:r w:rsidRPr="002A4652">
        <w:rPr>
          <w:spacing w:val="6"/>
        </w:rPr>
        <w:t xml:space="preserve"> </w:t>
      </w:r>
      <w:r>
        <w:t>it</w:t>
      </w:r>
      <w:r w:rsidRPr="002A4652">
        <w:rPr>
          <w:spacing w:val="19"/>
        </w:rPr>
        <w:t xml:space="preserve"> </w:t>
      </w:r>
      <w:r>
        <w:t>lead</w:t>
      </w:r>
      <w:r w:rsidRPr="002A4652">
        <w:rPr>
          <w:spacing w:val="-2"/>
        </w:rPr>
        <w:t>s</w:t>
      </w:r>
      <w:r>
        <w:t>.  M</w:t>
      </w:r>
      <w:r w:rsidRPr="0079322A">
        <w:t>ajor modification</w:t>
      </w:r>
      <w:r>
        <w:t>s</w:t>
      </w:r>
      <w:r w:rsidRPr="0079322A">
        <w:t xml:space="preserve"> to a programme </w:t>
      </w:r>
      <w:r>
        <w:t>are defined as</w:t>
      </w:r>
      <w:r w:rsidRPr="0079322A">
        <w:t xml:space="preserve">: </w:t>
      </w:r>
    </w:p>
    <w:p w:rsidR="00E74DF9" w:rsidRPr="00E12A3A" w:rsidRDefault="00E74DF9" w:rsidP="00E12A3A">
      <w:pPr>
        <w:pStyle w:val="CoPbullet"/>
        <w:ind w:left="1134" w:hanging="425"/>
      </w:pPr>
      <w:r w:rsidRPr="00290F5C">
        <w:t>modifications</w:t>
      </w:r>
      <w:r w:rsidRPr="00E12A3A">
        <w:t xml:space="preserve"> that affect 25% or more of a programme </w:t>
      </w:r>
    </w:p>
    <w:p w:rsidR="00E74DF9" w:rsidRPr="00424580" w:rsidRDefault="00E74DF9" w:rsidP="00E12A3A">
      <w:pPr>
        <w:pStyle w:val="CoPbullet"/>
        <w:ind w:left="1134" w:hanging="425"/>
      </w:pPr>
      <w:r w:rsidRPr="00290F5C">
        <w:t>modifications</w:t>
      </w:r>
      <w:r w:rsidRPr="00424580">
        <w:t xml:space="preserve"> to 25% or more of the aims of a programme </w:t>
      </w:r>
    </w:p>
    <w:p w:rsidR="00E74DF9" w:rsidRPr="00424580" w:rsidRDefault="00E74DF9" w:rsidP="00E12A3A">
      <w:pPr>
        <w:pStyle w:val="CoPbullet"/>
        <w:ind w:left="1134" w:hanging="425"/>
      </w:pPr>
      <w:r w:rsidRPr="00290F5C">
        <w:t>modifications</w:t>
      </w:r>
      <w:r w:rsidRPr="00424580">
        <w:t xml:space="preserve"> to 25% or more of the learning outcomes of a programme </w:t>
      </w:r>
    </w:p>
    <w:p w:rsidR="001D5966" w:rsidRDefault="00E74DF9" w:rsidP="00E12A3A">
      <w:pPr>
        <w:pStyle w:val="CoPbullet"/>
        <w:ind w:left="1134" w:hanging="425"/>
      </w:pPr>
      <w:r w:rsidRPr="00290F5C">
        <w:t>modifications</w:t>
      </w:r>
      <w:r w:rsidRPr="00C02737">
        <w:t xml:space="preserve"> </w:t>
      </w:r>
      <w:r w:rsidRPr="00397F6D">
        <w:rPr>
          <w:rFonts w:eastAsia="Times New Roman"/>
        </w:rPr>
        <w:t>to 25% or more of the mode of delivery of a programme</w:t>
      </w:r>
      <w:r w:rsidRPr="00A503FF">
        <w:t xml:space="preserve"> </w:t>
      </w:r>
    </w:p>
    <w:p w:rsidR="00D3300C" w:rsidRPr="00397F6D" w:rsidRDefault="00573C82" w:rsidP="006462DF">
      <w:pPr>
        <w:pStyle w:val="CoPNumberlevel1"/>
        <w:numPr>
          <w:ilvl w:val="1"/>
          <w:numId w:val="50"/>
        </w:numPr>
        <w:ind w:left="709" w:hanging="709"/>
      </w:pPr>
      <w:r w:rsidRPr="00397F6D">
        <w:t xml:space="preserve">The </w:t>
      </w:r>
      <w:r w:rsidRPr="003C3FAE">
        <w:rPr>
          <w:i/>
        </w:rPr>
        <w:t xml:space="preserve">Procedure for the Approval of New Programmes and </w:t>
      </w:r>
      <w:r w:rsidR="00A62078">
        <w:rPr>
          <w:i/>
        </w:rPr>
        <w:t xml:space="preserve">Major </w:t>
      </w:r>
      <w:r w:rsidRPr="003C3FAE">
        <w:rPr>
          <w:i/>
        </w:rPr>
        <w:t>Modifications to Programmes</w:t>
      </w:r>
      <w:r w:rsidRPr="00397F6D">
        <w:t xml:space="preserve"> details the following stages </w:t>
      </w:r>
      <w:r w:rsidR="002F3521" w:rsidRPr="00397F6D">
        <w:t>(Appendix 1)</w:t>
      </w:r>
      <w:r w:rsidR="00D3300C" w:rsidRPr="00397F6D">
        <w:t>:</w:t>
      </w:r>
    </w:p>
    <w:p w:rsidR="00D3300C" w:rsidRPr="003433C0" w:rsidRDefault="00F51CBA" w:rsidP="005E097C">
      <w:pPr>
        <w:pStyle w:val="CoPNumberlevel1"/>
        <w:numPr>
          <w:ilvl w:val="2"/>
          <w:numId w:val="50"/>
        </w:numPr>
        <w:ind w:left="1418" w:hanging="698"/>
      </w:pPr>
      <w:r w:rsidRPr="00660920">
        <w:rPr>
          <w:b/>
        </w:rPr>
        <w:t>Stage 1</w:t>
      </w:r>
      <w:r>
        <w:t xml:space="preserve">: </w:t>
      </w:r>
      <w:r w:rsidR="006F38C7">
        <w:t xml:space="preserve">The </w:t>
      </w:r>
      <w:r w:rsidR="00555762">
        <w:t xml:space="preserve">Management Committee </w:t>
      </w:r>
      <w:r w:rsidR="006A7905">
        <w:t xml:space="preserve">will </w:t>
      </w:r>
      <w:r w:rsidR="00B3648D">
        <w:t xml:space="preserve">consider a proposal </w:t>
      </w:r>
      <w:r w:rsidR="00362622">
        <w:t xml:space="preserve">to develop a new programme </w:t>
      </w:r>
      <w:r w:rsidR="00A62078">
        <w:t xml:space="preserve">(make major modifications to an existing programme) </w:t>
      </w:r>
      <w:r w:rsidR="0089451A">
        <w:t xml:space="preserve"> </w:t>
      </w:r>
      <w:r w:rsidR="006F38C7">
        <w:t xml:space="preserve">following </w:t>
      </w:r>
      <w:r>
        <w:t xml:space="preserve">consideration </w:t>
      </w:r>
      <w:r w:rsidR="00660920">
        <w:t xml:space="preserve">of the </w:t>
      </w:r>
      <w:r w:rsidR="00555762">
        <w:t>academic rationale</w:t>
      </w:r>
      <w:r w:rsidR="006A7905">
        <w:t xml:space="preserve"> of the </w:t>
      </w:r>
      <w:r w:rsidR="006F38C7">
        <w:t xml:space="preserve">outline </w:t>
      </w:r>
      <w:r w:rsidR="006A7905">
        <w:t>proposal</w:t>
      </w:r>
      <w:r w:rsidR="006F38C7">
        <w:t xml:space="preserve"> by the </w:t>
      </w:r>
      <w:r w:rsidR="00660920">
        <w:t>Programmes Board</w:t>
      </w:r>
      <w:r w:rsidR="006F38C7">
        <w:t xml:space="preserve"> and confirmation by the L&amp;T Committee </w:t>
      </w:r>
      <w:r w:rsidR="0089451A">
        <w:t xml:space="preserve">that it is </w:t>
      </w:r>
      <w:r w:rsidR="00660920">
        <w:t>financial</w:t>
      </w:r>
      <w:r w:rsidR="0089451A">
        <w:t>ly sound</w:t>
      </w:r>
      <w:r w:rsidR="00A62078">
        <w:t xml:space="preserve"> and is in line with LSTM’s mission and strategic plan</w:t>
      </w:r>
    </w:p>
    <w:p w:rsidR="00632E5F" w:rsidRPr="003433C0" w:rsidRDefault="00660920" w:rsidP="005E097C">
      <w:pPr>
        <w:pStyle w:val="CoPNumberlevel1"/>
        <w:numPr>
          <w:ilvl w:val="2"/>
          <w:numId w:val="50"/>
        </w:numPr>
        <w:ind w:left="1418" w:hanging="698"/>
      </w:pPr>
      <w:r>
        <w:rPr>
          <w:b/>
        </w:rPr>
        <w:t>Stage 2:</w:t>
      </w:r>
      <w:r w:rsidR="00555762">
        <w:t xml:space="preserve"> </w:t>
      </w:r>
      <w:r w:rsidR="0089451A">
        <w:t xml:space="preserve">If </w:t>
      </w:r>
      <w:r w:rsidR="00362622">
        <w:t xml:space="preserve">approval to develop the programme </w:t>
      </w:r>
      <w:r w:rsidR="00A62078">
        <w:t xml:space="preserve">(make the modifications) </w:t>
      </w:r>
      <w:r w:rsidR="00362622">
        <w:t xml:space="preserve">is given by Management Committee, </w:t>
      </w:r>
      <w:r w:rsidR="00B3648D">
        <w:t>, t</w:t>
      </w:r>
      <w:r w:rsidR="00555762">
        <w:t xml:space="preserve">he </w:t>
      </w:r>
      <w:r w:rsidR="00F26CEE">
        <w:t>P</w:t>
      </w:r>
      <w:r w:rsidR="006A7905">
        <w:t xml:space="preserve">roposer will develop the full </w:t>
      </w:r>
      <w:r w:rsidR="00555762">
        <w:t>programme specification together with specifications for the constituent modules (if applicable)</w:t>
      </w:r>
      <w:r w:rsidR="00362622">
        <w:t xml:space="preserve"> and will nominate the external reviewer(s)</w:t>
      </w:r>
    </w:p>
    <w:p w:rsidR="00D3300C" w:rsidRPr="003433C0" w:rsidRDefault="00632E5F" w:rsidP="005E097C">
      <w:pPr>
        <w:pStyle w:val="CoPNumberlevel1"/>
        <w:numPr>
          <w:ilvl w:val="2"/>
          <w:numId w:val="50"/>
        </w:numPr>
        <w:ind w:left="1418" w:hanging="698"/>
      </w:pPr>
      <w:r>
        <w:rPr>
          <w:b/>
        </w:rPr>
        <w:t>Stage 3:</w:t>
      </w:r>
      <w:r w:rsidRPr="00632E5F">
        <w:t xml:space="preserve"> </w:t>
      </w:r>
      <w:r w:rsidR="00362622">
        <w:t>Following approval of the external reviewer(s) by the DoE, t</w:t>
      </w:r>
      <w:r w:rsidR="006A7905">
        <w:t xml:space="preserve">he </w:t>
      </w:r>
      <w:r w:rsidR="00FE0A5B">
        <w:t xml:space="preserve">Proposer submits the </w:t>
      </w:r>
      <w:r>
        <w:t xml:space="preserve">programme documentation for </w:t>
      </w:r>
      <w:r w:rsidR="001959A3">
        <w:t xml:space="preserve">external </w:t>
      </w:r>
      <w:r>
        <w:t>review</w:t>
      </w:r>
    </w:p>
    <w:p w:rsidR="00D3300C" w:rsidRPr="003433C0" w:rsidRDefault="00A54F6D" w:rsidP="005E097C">
      <w:pPr>
        <w:pStyle w:val="CoPNumberlevel1"/>
        <w:numPr>
          <w:ilvl w:val="2"/>
          <w:numId w:val="50"/>
        </w:numPr>
        <w:ind w:left="1418" w:hanging="698"/>
      </w:pPr>
      <w:r>
        <w:rPr>
          <w:b/>
        </w:rPr>
        <w:t>Stage 4:</w:t>
      </w:r>
      <w:r w:rsidRPr="00632E5F">
        <w:t xml:space="preserve"> </w:t>
      </w:r>
      <w:r w:rsidR="00613A52">
        <w:t>T</w:t>
      </w:r>
      <w:r>
        <w:t>he Q</w:t>
      </w:r>
      <w:r w:rsidR="00613A52">
        <w:t xml:space="preserve">MC </w:t>
      </w:r>
      <w:r w:rsidR="006A7905">
        <w:t>will consider</w:t>
      </w:r>
      <w:r w:rsidR="00613A52">
        <w:t xml:space="preserve"> </w:t>
      </w:r>
      <w:r>
        <w:t>the academi</w:t>
      </w:r>
      <w:r w:rsidR="00613A52">
        <w:t xml:space="preserve">c quality and standards of the </w:t>
      </w:r>
      <w:r w:rsidR="006A7905">
        <w:t>proposed programme</w:t>
      </w:r>
      <w:r w:rsidR="00A62078">
        <w:t xml:space="preserve"> (or modifications)</w:t>
      </w:r>
      <w:r w:rsidR="006A7905">
        <w:t>, including t</w:t>
      </w:r>
      <w:r w:rsidR="00613A52">
        <w:t>he report(s) from external review</w:t>
      </w:r>
      <w:r w:rsidR="006A7905">
        <w:t>, and make</w:t>
      </w:r>
      <w:r w:rsidR="00613A52">
        <w:t xml:space="preserve"> a </w:t>
      </w:r>
      <w:r>
        <w:t>recommendation to the L&amp;T</w:t>
      </w:r>
      <w:r w:rsidR="00613A52">
        <w:t xml:space="preserve"> </w:t>
      </w:r>
      <w:r>
        <w:t>C</w:t>
      </w:r>
      <w:r w:rsidR="00613A52">
        <w:t>ommittee</w:t>
      </w:r>
    </w:p>
    <w:p w:rsidR="00D3300C" w:rsidRDefault="00C85A3A" w:rsidP="005E097C">
      <w:pPr>
        <w:pStyle w:val="CoPNumberlevel1"/>
        <w:numPr>
          <w:ilvl w:val="2"/>
          <w:numId w:val="50"/>
        </w:numPr>
        <w:ind w:left="1418" w:hanging="698"/>
      </w:pPr>
      <w:r>
        <w:rPr>
          <w:b/>
        </w:rPr>
        <w:t>Stage 5:</w:t>
      </w:r>
      <w:r w:rsidRPr="00C85A3A">
        <w:t xml:space="preserve"> </w:t>
      </w:r>
      <w:r w:rsidR="006A7905">
        <w:t xml:space="preserve">The </w:t>
      </w:r>
      <w:r w:rsidR="00613A52">
        <w:t xml:space="preserve">Management Committee </w:t>
      </w:r>
      <w:r w:rsidR="006A7905">
        <w:t xml:space="preserve">will </w:t>
      </w:r>
      <w:r w:rsidR="00B3648D">
        <w:t xml:space="preserve">consider a programme </w:t>
      </w:r>
      <w:r w:rsidR="00A62078">
        <w:t xml:space="preserve">(or modifications to a programme) </w:t>
      </w:r>
      <w:r w:rsidR="00B3648D">
        <w:t xml:space="preserve">for </w:t>
      </w:r>
      <w:r w:rsidR="00D91429">
        <w:t xml:space="preserve">final approval </w:t>
      </w:r>
      <w:r w:rsidR="006F38C7">
        <w:t xml:space="preserve">following a positive </w:t>
      </w:r>
      <w:r>
        <w:t>recommend</w:t>
      </w:r>
      <w:r w:rsidR="006F38C7">
        <w:t>ation</w:t>
      </w:r>
      <w:r w:rsidR="00B3648D">
        <w:t xml:space="preserve"> from </w:t>
      </w:r>
      <w:r w:rsidR="00613A52">
        <w:t xml:space="preserve">the </w:t>
      </w:r>
      <w:r>
        <w:t>L&amp;T</w:t>
      </w:r>
      <w:r w:rsidR="00613A52">
        <w:t xml:space="preserve"> </w:t>
      </w:r>
      <w:r>
        <w:t>C</w:t>
      </w:r>
      <w:r w:rsidR="00613A52">
        <w:t>ommittee</w:t>
      </w:r>
    </w:p>
    <w:p w:rsidR="00A2167C" w:rsidRDefault="00A2167C" w:rsidP="006462DF">
      <w:pPr>
        <w:pStyle w:val="CoPNumberlevel1"/>
        <w:numPr>
          <w:ilvl w:val="1"/>
          <w:numId w:val="50"/>
        </w:numPr>
        <w:ind w:left="709" w:hanging="709"/>
      </w:pPr>
      <w:r>
        <w:t>Programmes will be approved for a fixed period (norm</w:t>
      </w:r>
      <w:r w:rsidR="00B834F0">
        <w:t xml:space="preserve">ally 5 years for credit-bearing </w:t>
      </w:r>
      <w:r>
        <w:t>programmes and 3 years for</w:t>
      </w:r>
      <w:r w:rsidR="00B0206E">
        <w:t xml:space="preserve"> non</w:t>
      </w:r>
      <w:r w:rsidR="00F76821">
        <w:t>-</w:t>
      </w:r>
      <w:r w:rsidR="00B0206E">
        <w:t>credit-bearing programmes) and will then be s</w:t>
      </w:r>
      <w:r w:rsidR="001445E5">
        <w:t>ubject to re-approval (Section 8</w:t>
      </w:r>
      <w:r w:rsidR="00B0206E">
        <w:t>.1).</w:t>
      </w:r>
    </w:p>
    <w:p w:rsidR="00441160" w:rsidRDefault="00C34DDB" w:rsidP="006462DF">
      <w:pPr>
        <w:pStyle w:val="CoPNumberlevel1"/>
        <w:numPr>
          <w:ilvl w:val="1"/>
          <w:numId w:val="50"/>
        </w:numPr>
        <w:ind w:left="709" w:hanging="709"/>
      </w:pPr>
      <w:r w:rsidRPr="00797C7C">
        <w:rPr>
          <w:b/>
          <w:i/>
        </w:rPr>
        <w:t xml:space="preserve">Minor </w:t>
      </w:r>
      <w:r w:rsidR="00441160" w:rsidRPr="00797C7C">
        <w:rPr>
          <w:b/>
          <w:i/>
        </w:rPr>
        <w:t>modifications</w:t>
      </w:r>
      <w:r w:rsidR="00441160" w:rsidRPr="00C06A5D">
        <w:t xml:space="preserve"> to programmes</w:t>
      </w:r>
      <w:r w:rsidR="0090084A">
        <w:t xml:space="preserve"> are</w:t>
      </w:r>
      <w:r w:rsidR="00441160" w:rsidRPr="00C06A5D">
        <w:t xml:space="preserve"> </w:t>
      </w:r>
      <w:r w:rsidR="009B4F3D">
        <w:t xml:space="preserve">defined as changes </w:t>
      </w:r>
      <w:r w:rsidR="00441160" w:rsidRPr="00C06A5D">
        <w:t>that affect less than 25% of the programme and which do not constitute major modifications</w:t>
      </w:r>
      <w:r w:rsidR="00441160">
        <w:t>.</w:t>
      </w:r>
    </w:p>
    <w:p w:rsidR="009032A2" w:rsidRDefault="009032A2">
      <w:pPr>
        <w:rPr>
          <w:rFonts w:ascii="Arial" w:eastAsia="Calibri" w:hAnsi="Arial" w:cs="Arial"/>
          <w:spacing w:val="-1"/>
        </w:rPr>
      </w:pPr>
      <w:r>
        <w:br w:type="page"/>
      </w:r>
    </w:p>
    <w:p w:rsidR="00473DBD" w:rsidRPr="00397F6D" w:rsidRDefault="00A62078" w:rsidP="006462DF">
      <w:pPr>
        <w:pStyle w:val="CoPNumberlevel1"/>
        <w:numPr>
          <w:ilvl w:val="1"/>
          <w:numId w:val="50"/>
        </w:numPr>
        <w:ind w:left="709" w:hanging="709"/>
      </w:pPr>
      <w:r>
        <w:lastRenderedPageBreak/>
        <w:t xml:space="preserve">Minor modifications are dealt with under </w:t>
      </w:r>
      <w:r w:rsidR="00473DBD" w:rsidRPr="00397F6D">
        <w:t xml:space="preserve">The </w:t>
      </w:r>
      <w:r>
        <w:t>“</w:t>
      </w:r>
      <w:r w:rsidR="00F62F3D" w:rsidRPr="0042595F">
        <w:rPr>
          <w:i/>
        </w:rPr>
        <w:t xml:space="preserve">Procedure for Annual </w:t>
      </w:r>
      <w:r w:rsidR="009A72D8">
        <w:rPr>
          <w:i/>
        </w:rPr>
        <w:t>Review</w:t>
      </w:r>
      <w:r w:rsidR="009A72D8" w:rsidRPr="0042595F">
        <w:rPr>
          <w:i/>
        </w:rPr>
        <w:t xml:space="preserve"> </w:t>
      </w:r>
      <w:r w:rsidR="00F62F3D" w:rsidRPr="0042595F">
        <w:rPr>
          <w:i/>
        </w:rPr>
        <w:t xml:space="preserve">and Approval of Minor Modifications to Programmes and </w:t>
      </w:r>
      <w:r w:rsidR="009A72D8">
        <w:rPr>
          <w:i/>
        </w:rPr>
        <w:t xml:space="preserve">Major/Minor Modifications to </w:t>
      </w:r>
      <w:r w:rsidR="00F62F3D" w:rsidRPr="0042595F">
        <w:rPr>
          <w:i/>
        </w:rPr>
        <w:t>Modules</w:t>
      </w:r>
      <w:r w:rsidR="009B5469">
        <w:rPr>
          <w:i/>
        </w:rPr>
        <w:t>” which</w:t>
      </w:r>
      <w:r w:rsidR="00F62F3D" w:rsidRPr="0042595F">
        <w:rPr>
          <w:i/>
        </w:rPr>
        <w:t xml:space="preserve"> details </w:t>
      </w:r>
      <w:r w:rsidR="00F62F3D" w:rsidRPr="00397F6D">
        <w:t>the following stages</w:t>
      </w:r>
      <w:r w:rsidR="00F62F3D">
        <w:t>:</w:t>
      </w:r>
    </w:p>
    <w:p w:rsidR="00473DBD" w:rsidRDefault="00473DBD" w:rsidP="005E097C">
      <w:pPr>
        <w:pStyle w:val="CoPNumberlevel1"/>
        <w:numPr>
          <w:ilvl w:val="2"/>
          <w:numId w:val="50"/>
        </w:numPr>
        <w:ind w:left="1418" w:hanging="698"/>
      </w:pPr>
      <w:r w:rsidRPr="009D0309">
        <w:rPr>
          <w:b/>
        </w:rPr>
        <w:t>Stage 1:</w:t>
      </w:r>
      <w:r>
        <w:t xml:space="preserve">  </w:t>
      </w:r>
      <w:r w:rsidR="009B5469">
        <w:t>As part of the Annual Programme Review process, t</w:t>
      </w:r>
      <w:r w:rsidR="004D7016">
        <w:t xml:space="preserve">he Board of Studies </w:t>
      </w:r>
      <w:r w:rsidR="006F38C7">
        <w:t xml:space="preserve">will </w:t>
      </w:r>
      <w:r w:rsidR="009B5469">
        <w:t xml:space="preserve">discuss any </w:t>
      </w:r>
      <w:r w:rsidR="004D7016">
        <w:t xml:space="preserve">proposed </w:t>
      </w:r>
      <w:r w:rsidR="009B5469">
        <w:t xml:space="preserve">minor </w:t>
      </w:r>
      <w:r w:rsidR="004D7016">
        <w:t>modifications</w:t>
      </w:r>
      <w:r w:rsidR="006F38C7">
        <w:t xml:space="preserve"> </w:t>
      </w:r>
      <w:r w:rsidR="009B5469">
        <w:t xml:space="preserve">to the programme </w:t>
      </w:r>
      <w:r w:rsidR="006F38C7">
        <w:t>and</w:t>
      </w:r>
      <w:r w:rsidR="00FE0A5B">
        <w:t>,</w:t>
      </w:r>
      <w:r w:rsidR="006F38C7">
        <w:t xml:space="preserve"> </w:t>
      </w:r>
      <w:r w:rsidR="00FE0A5B">
        <w:t xml:space="preserve">if considered appropriate, will </w:t>
      </w:r>
      <w:r w:rsidR="00EA2D13">
        <w:t xml:space="preserve">endorse the proposed modification and </w:t>
      </w:r>
      <w:r w:rsidR="00FE0A5B">
        <w:t>request approval</w:t>
      </w:r>
    </w:p>
    <w:p w:rsidR="001759DA" w:rsidRPr="009032A2" w:rsidRDefault="00473DBD" w:rsidP="005E097C">
      <w:pPr>
        <w:pStyle w:val="CoPNumberlevel1"/>
        <w:numPr>
          <w:ilvl w:val="2"/>
          <w:numId w:val="50"/>
        </w:numPr>
        <w:ind w:left="1418" w:hanging="698"/>
      </w:pPr>
      <w:r w:rsidRPr="009D0309">
        <w:rPr>
          <w:b/>
        </w:rPr>
        <w:t>Stage 2:</w:t>
      </w:r>
      <w:r>
        <w:t xml:space="preserve">  The QMC </w:t>
      </w:r>
      <w:r w:rsidR="006F38C7">
        <w:t>will co</w:t>
      </w:r>
      <w:r>
        <w:t>nsider</w:t>
      </w:r>
      <w:r w:rsidR="006F38C7">
        <w:t xml:space="preserve"> </w:t>
      </w:r>
      <w:r>
        <w:t xml:space="preserve">the proposed </w:t>
      </w:r>
      <w:r w:rsidR="00986857">
        <w:t xml:space="preserve">minor </w:t>
      </w:r>
      <w:r w:rsidR="006361EB">
        <w:t xml:space="preserve">programme </w:t>
      </w:r>
      <w:r>
        <w:t xml:space="preserve">modifications </w:t>
      </w:r>
      <w:r w:rsidR="00685809">
        <w:t xml:space="preserve">for approval </w:t>
      </w:r>
      <w:r>
        <w:t xml:space="preserve">as </w:t>
      </w:r>
      <w:r w:rsidR="00CF3947" w:rsidRPr="00C06A5D">
        <w:t>part of the annual programme review process</w:t>
      </w:r>
      <w:r w:rsidR="009B5469">
        <w:t xml:space="preserve"> and will grant approval if the proposed modifications are considered to be appropriate</w:t>
      </w:r>
      <w:r w:rsidR="00546F3C">
        <w:t>.</w:t>
      </w:r>
      <w:r w:rsidR="00CE2D91" w:rsidRPr="00CE2D91">
        <w:t xml:space="preserve"> </w:t>
      </w:r>
      <w:r w:rsidR="00CE2D91">
        <w:t xml:space="preserve"> If</w:t>
      </w:r>
      <w:r w:rsidR="00CE2D91" w:rsidRPr="00C06A5D">
        <w:t xml:space="preserve"> the </w:t>
      </w:r>
      <w:r w:rsidR="00CE2D91" w:rsidRPr="0003778A">
        <w:t>modifications</w:t>
      </w:r>
      <w:r w:rsidR="00CE2D91" w:rsidRPr="00C06A5D">
        <w:t xml:space="preserve"> </w:t>
      </w:r>
      <w:r w:rsidR="00CE2D91">
        <w:t xml:space="preserve">are </w:t>
      </w:r>
      <w:r w:rsidR="00CE2D91" w:rsidRPr="00C06A5D">
        <w:t xml:space="preserve">not </w:t>
      </w:r>
      <w:r w:rsidR="00CE2D91">
        <w:t xml:space="preserve">considered to be </w:t>
      </w:r>
      <w:r w:rsidR="00CE2D91" w:rsidRPr="00C06A5D">
        <w:t>minor</w:t>
      </w:r>
      <w:r w:rsidR="00CE2D91">
        <w:t xml:space="preserve">, the programme </w:t>
      </w:r>
      <w:r w:rsidR="00CE2D91" w:rsidRPr="009032A2">
        <w:t xml:space="preserve">will be required to go through the </w:t>
      </w:r>
      <w:r w:rsidR="000A0963">
        <w:t>“</w:t>
      </w:r>
      <w:r w:rsidR="000A0963" w:rsidRPr="003C3FAE">
        <w:rPr>
          <w:i/>
        </w:rPr>
        <w:t xml:space="preserve">Procedure for the Approval of New Programmes and </w:t>
      </w:r>
      <w:r w:rsidR="000A0963">
        <w:rPr>
          <w:i/>
        </w:rPr>
        <w:t xml:space="preserve">Major </w:t>
      </w:r>
      <w:r w:rsidR="000A0963" w:rsidRPr="003C3FAE">
        <w:rPr>
          <w:i/>
        </w:rPr>
        <w:t>Modifications to Programmes</w:t>
      </w:r>
      <w:r w:rsidR="000A0963">
        <w:t>”</w:t>
      </w:r>
      <w:r w:rsidR="006F38C7" w:rsidRPr="009032A2">
        <w:t xml:space="preserve"> (Section 5.2)</w:t>
      </w:r>
    </w:p>
    <w:p w:rsidR="0003778A" w:rsidRDefault="00664532" w:rsidP="00A21773">
      <w:pPr>
        <w:pStyle w:val="CoPborderheading"/>
        <w:numPr>
          <w:ilvl w:val="0"/>
          <w:numId w:val="50"/>
        </w:numPr>
        <w:rPr>
          <w:rFonts w:hint="eastAsia"/>
        </w:rPr>
      </w:pPr>
      <w:bookmarkStart w:id="8" w:name="_Toc426547856"/>
      <w:r>
        <w:t>New M</w:t>
      </w:r>
      <w:r w:rsidR="0003778A">
        <w:t>odules</w:t>
      </w:r>
      <w:bookmarkEnd w:id="8"/>
      <w:r w:rsidR="00A60B93">
        <w:t xml:space="preserve"> </w:t>
      </w:r>
    </w:p>
    <w:p w:rsidR="003C3FAE" w:rsidRPr="003C3FAE" w:rsidRDefault="003C3FAE" w:rsidP="006462DF">
      <w:pPr>
        <w:pStyle w:val="CoPNumberlevel1"/>
        <w:numPr>
          <w:ilvl w:val="1"/>
          <w:numId w:val="50"/>
        </w:numPr>
        <w:ind w:left="709" w:hanging="709"/>
        <w:rPr>
          <w:color w:val="000000"/>
        </w:rPr>
      </w:pPr>
      <w:r w:rsidRPr="00FE580B">
        <w:rPr>
          <w:rFonts w:eastAsia="Times New Roman"/>
          <w:color w:val="000000"/>
        </w:rPr>
        <w:t>Submission</w:t>
      </w:r>
      <w:r>
        <w:t xml:space="preserve"> of a modular programme for approval will include consideration of its constituent modules.</w:t>
      </w:r>
      <w:r>
        <w:rPr>
          <w:color w:val="000000"/>
        </w:rPr>
        <w:t xml:space="preserve">  </w:t>
      </w:r>
      <w:r>
        <w:t>Proposals for new and modified modules may also be considered independent of programme approval.</w:t>
      </w:r>
    </w:p>
    <w:p w:rsidR="00986142" w:rsidRPr="00C935D4" w:rsidRDefault="00C935D4" w:rsidP="006462DF">
      <w:pPr>
        <w:pStyle w:val="CoPNumberlevel1"/>
        <w:numPr>
          <w:ilvl w:val="1"/>
          <w:numId w:val="50"/>
        </w:numPr>
        <w:ind w:left="709" w:hanging="709"/>
      </w:pPr>
      <w:r w:rsidRPr="00C935D4">
        <w:t xml:space="preserve">The </w:t>
      </w:r>
      <w:r w:rsidR="00986142" w:rsidRPr="00397F6D">
        <w:rPr>
          <w:i/>
        </w:rPr>
        <w:t xml:space="preserve">Procedure for the Approval of New Modules </w:t>
      </w:r>
      <w:r w:rsidRPr="00C935D4">
        <w:t xml:space="preserve">details </w:t>
      </w:r>
      <w:r w:rsidR="00441160" w:rsidRPr="00C935D4">
        <w:t>the following stages</w:t>
      </w:r>
      <w:r w:rsidRPr="00C935D4">
        <w:t>:</w:t>
      </w:r>
      <w:r w:rsidR="00986142" w:rsidRPr="00C935D4">
        <w:t xml:space="preserve"> </w:t>
      </w:r>
    </w:p>
    <w:p w:rsidR="00744444" w:rsidRDefault="00554BAB" w:rsidP="005E097C">
      <w:pPr>
        <w:pStyle w:val="CoPNumberlevel1"/>
        <w:numPr>
          <w:ilvl w:val="2"/>
          <w:numId w:val="50"/>
        </w:numPr>
        <w:ind w:left="1418" w:hanging="698"/>
      </w:pPr>
      <w:r w:rsidRPr="002114C9">
        <w:rPr>
          <w:b/>
        </w:rPr>
        <w:t>Stage 1:</w:t>
      </w:r>
      <w:r>
        <w:t xml:space="preserve">  </w:t>
      </w:r>
      <w:r w:rsidR="00C935D4">
        <w:t>Th</w:t>
      </w:r>
      <w:r w:rsidR="00C935D4" w:rsidRPr="0023709C">
        <w:t>e Module Proposal</w:t>
      </w:r>
      <w:r w:rsidR="00C935D4">
        <w:t xml:space="preserve"> will </w:t>
      </w:r>
      <w:r w:rsidR="00F26CEE">
        <w:t xml:space="preserve">be considered by the Programmes Board and a </w:t>
      </w:r>
      <w:r w:rsidR="00F26CEE" w:rsidRPr="00852819">
        <w:t>recommendation</w:t>
      </w:r>
      <w:r w:rsidR="00F26CEE" w:rsidRPr="002114C9">
        <w:rPr>
          <w:rFonts w:eastAsia="Times New Roman"/>
          <w:color w:val="000000"/>
        </w:rPr>
        <w:t xml:space="preserve"> </w:t>
      </w:r>
      <w:r w:rsidR="00F26CEE">
        <w:rPr>
          <w:rFonts w:eastAsia="Times New Roman"/>
          <w:color w:val="000000"/>
        </w:rPr>
        <w:t xml:space="preserve">made </w:t>
      </w:r>
      <w:r w:rsidR="00F26CEE" w:rsidRPr="002114C9">
        <w:rPr>
          <w:rFonts w:eastAsia="Times New Roman"/>
          <w:color w:val="000000"/>
        </w:rPr>
        <w:t xml:space="preserve">to the </w:t>
      </w:r>
      <w:r w:rsidR="00F26CEE">
        <w:rPr>
          <w:rFonts w:eastAsia="Times New Roman"/>
          <w:color w:val="000000"/>
        </w:rPr>
        <w:t>L&amp;T Committee</w:t>
      </w:r>
      <w:r w:rsidR="00F26CEE" w:rsidRPr="002114C9">
        <w:rPr>
          <w:rFonts w:eastAsia="Times New Roman"/>
          <w:color w:val="000000"/>
        </w:rPr>
        <w:t xml:space="preserve">.  </w:t>
      </w:r>
    </w:p>
    <w:p w:rsidR="0023709C" w:rsidRDefault="0023709C" w:rsidP="005E097C">
      <w:pPr>
        <w:pStyle w:val="CoPNumberlevel1"/>
        <w:numPr>
          <w:ilvl w:val="2"/>
          <w:numId w:val="50"/>
        </w:numPr>
        <w:ind w:left="1418" w:hanging="698"/>
      </w:pPr>
      <w:r w:rsidRPr="0023709C">
        <w:rPr>
          <w:b/>
        </w:rPr>
        <w:t xml:space="preserve">Stage </w:t>
      </w:r>
      <w:r w:rsidR="00C14E8B">
        <w:rPr>
          <w:b/>
        </w:rPr>
        <w:t>2</w:t>
      </w:r>
      <w:r w:rsidRPr="0023709C">
        <w:rPr>
          <w:b/>
        </w:rPr>
        <w:t>:</w:t>
      </w:r>
      <w:r>
        <w:t xml:space="preserve">  </w:t>
      </w:r>
      <w:r w:rsidR="00C935D4">
        <w:t xml:space="preserve">The </w:t>
      </w:r>
      <w:r w:rsidR="00C14E8B">
        <w:t>L&amp;T Committee</w:t>
      </w:r>
      <w:r w:rsidR="00C935D4">
        <w:t xml:space="preserve"> will refer the proposed </w:t>
      </w:r>
      <w:r w:rsidR="00167864">
        <w:t>M</w:t>
      </w:r>
      <w:r w:rsidR="00C935D4">
        <w:t xml:space="preserve">odule </w:t>
      </w:r>
      <w:r w:rsidR="00167864">
        <w:t>S</w:t>
      </w:r>
      <w:r w:rsidR="00C935D4">
        <w:t xml:space="preserve">pecification to the </w:t>
      </w:r>
      <w:r>
        <w:t xml:space="preserve">QMC </w:t>
      </w:r>
      <w:r w:rsidR="00C935D4">
        <w:t xml:space="preserve">to review </w:t>
      </w:r>
      <w:r>
        <w:t>the academi</w:t>
      </w:r>
      <w:r w:rsidR="00C935D4">
        <w:t>c quality and standards</w:t>
      </w:r>
      <w:r w:rsidR="004A5F5E">
        <w:t xml:space="preserve"> </w:t>
      </w:r>
    </w:p>
    <w:p w:rsidR="004A5F5E" w:rsidRPr="003433C0" w:rsidRDefault="004A5F5E" w:rsidP="005E097C">
      <w:pPr>
        <w:pStyle w:val="CoPNumberlevel1"/>
        <w:numPr>
          <w:ilvl w:val="2"/>
          <w:numId w:val="50"/>
        </w:numPr>
        <w:ind w:left="1418" w:hanging="698"/>
      </w:pPr>
      <w:r w:rsidRPr="004A5F5E">
        <w:rPr>
          <w:b/>
        </w:rPr>
        <w:t xml:space="preserve">Stage </w:t>
      </w:r>
      <w:r w:rsidR="00C14E8B">
        <w:rPr>
          <w:b/>
        </w:rPr>
        <w:t>3</w:t>
      </w:r>
      <w:r w:rsidRPr="004A5F5E">
        <w:rPr>
          <w:b/>
        </w:rPr>
        <w:t>:</w:t>
      </w:r>
      <w:r>
        <w:t xml:space="preserve">  The L&amp;T Committee </w:t>
      </w:r>
      <w:r w:rsidR="00C935D4">
        <w:t xml:space="preserve">will </w:t>
      </w:r>
      <w:r w:rsidR="00B3648D">
        <w:t>consider the module</w:t>
      </w:r>
      <w:r w:rsidR="00685809">
        <w:t xml:space="preserve"> for approval </w:t>
      </w:r>
      <w:r w:rsidR="00B3648D">
        <w:t xml:space="preserve">following </w:t>
      </w:r>
      <w:r w:rsidR="00C935D4">
        <w:t xml:space="preserve">a positive recommendation </w:t>
      </w:r>
      <w:r w:rsidR="00B3648D">
        <w:t xml:space="preserve">from </w:t>
      </w:r>
      <w:r w:rsidR="00C935D4">
        <w:t>the QMC</w:t>
      </w:r>
    </w:p>
    <w:p w:rsidR="00424580" w:rsidRPr="00424580" w:rsidRDefault="00424580" w:rsidP="006462DF">
      <w:pPr>
        <w:pStyle w:val="CoPNumberlevel1"/>
        <w:numPr>
          <w:ilvl w:val="1"/>
          <w:numId w:val="50"/>
        </w:numPr>
        <w:ind w:left="709" w:hanging="709"/>
      </w:pPr>
      <w:r>
        <w:t xml:space="preserve">Major and minor modifications to modules are dealt with under the </w:t>
      </w:r>
      <w:r w:rsidRPr="00F830C8">
        <w:rPr>
          <w:i/>
        </w:rPr>
        <w:t xml:space="preserve">Procedure for Annual </w:t>
      </w:r>
      <w:r>
        <w:rPr>
          <w:i/>
        </w:rPr>
        <w:t>Review</w:t>
      </w:r>
      <w:r w:rsidRPr="00F830C8">
        <w:rPr>
          <w:i/>
        </w:rPr>
        <w:t xml:space="preserve"> and Approval of </w:t>
      </w:r>
      <w:r>
        <w:rPr>
          <w:i/>
        </w:rPr>
        <w:t xml:space="preserve">Minor </w:t>
      </w:r>
      <w:r w:rsidRPr="00F830C8">
        <w:rPr>
          <w:i/>
        </w:rPr>
        <w:t xml:space="preserve">Modifications to Programmes and </w:t>
      </w:r>
      <w:r>
        <w:rPr>
          <w:i/>
        </w:rPr>
        <w:t xml:space="preserve">Major/Minor Modifications to </w:t>
      </w:r>
      <w:r w:rsidRPr="00F830C8">
        <w:rPr>
          <w:i/>
        </w:rPr>
        <w:t>Modules</w:t>
      </w:r>
      <w:r>
        <w:rPr>
          <w:i/>
        </w:rPr>
        <w:t>”</w:t>
      </w:r>
    </w:p>
    <w:p w:rsidR="00F357D4" w:rsidRPr="000727DB" w:rsidRDefault="00F357D4" w:rsidP="006462DF">
      <w:pPr>
        <w:pStyle w:val="CoPNumberlevel1"/>
        <w:numPr>
          <w:ilvl w:val="1"/>
          <w:numId w:val="50"/>
        </w:numPr>
        <w:ind w:left="709" w:hanging="709"/>
      </w:pPr>
      <w:r w:rsidRPr="00797C7C">
        <w:rPr>
          <w:b/>
        </w:rPr>
        <w:t>Major modifications</w:t>
      </w:r>
      <w:r w:rsidRPr="000727DB">
        <w:t xml:space="preserve"> to </w:t>
      </w:r>
      <w:r>
        <w:t xml:space="preserve">modules </w:t>
      </w:r>
      <w:r w:rsidRPr="000727DB">
        <w:t xml:space="preserve">are </w:t>
      </w:r>
      <w:r>
        <w:t xml:space="preserve">defined as </w:t>
      </w:r>
      <w:r w:rsidRPr="000727DB">
        <w:t>changes</w:t>
      </w:r>
      <w:r>
        <w:t xml:space="preserve"> to modules which may have an effect on</w:t>
      </w:r>
      <w:r w:rsidRPr="000727DB">
        <w:t xml:space="preserve"> the programmes of which they are part and include</w:t>
      </w:r>
      <w:r>
        <w:t xml:space="preserve"> changes to the</w:t>
      </w:r>
      <w:r w:rsidRPr="000727DB">
        <w:t>:</w:t>
      </w:r>
    </w:p>
    <w:p w:rsidR="00F357D4" w:rsidRPr="00424580" w:rsidRDefault="00F357D4" w:rsidP="00E12A3A">
      <w:pPr>
        <w:pStyle w:val="CoPbullet"/>
        <w:ind w:left="1134" w:hanging="425"/>
      </w:pPr>
      <w:r w:rsidRPr="00290F5C">
        <w:t>Module</w:t>
      </w:r>
      <w:r w:rsidRPr="00424580">
        <w:t xml:space="preserve"> title</w:t>
      </w:r>
    </w:p>
    <w:p w:rsidR="00F357D4" w:rsidRPr="00424580" w:rsidRDefault="00F357D4" w:rsidP="00E12A3A">
      <w:pPr>
        <w:pStyle w:val="CoPbullet"/>
        <w:ind w:left="1134" w:hanging="425"/>
      </w:pPr>
      <w:r w:rsidRPr="001B655C">
        <w:t>Credit</w:t>
      </w:r>
      <w:r w:rsidRPr="00424580">
        <w:t xml:space="preserve"> value</w:t>
      </w:r>
    </w:p>
    <w:p w:rsidR="00F357D4" w:rsidRPr="00424580" w:rsidRDefault="00F357D4" w:rsidP="00E12A3A">
      <w:pPr>
        <w:pStyle w:val="CoPbullet"/>
        <w:ind w:left="1134" w:hanging="425"/>
      </w:pPr>
      <w:r w:rsidRPr="00290F5C">
        <w:t>Assessment</w:t>
      </w:r>
      <w:r w:rsidRPr="00424580">
        <w:t xml:space="preserve"> method(s)</w:t>
      </w:r>
    </w:p>
    <w:p w:rsidR="00F357D4" w:rsidRPr="00424580" w:rsidRDefault="00F357D4" w:rsidP="00E12A3A">
      <w:pPr>
        <w:pStyle w:val="CoPbullet"/>
        <w:ind w:left="1134" w:hanging="425"/>
      </w:pPr>
      <w:r w:rsidRPr="00290F5C">
        <w:t>Assessment</w:t>
      </w:r>
      <w:r w:rsidRPr="00424580">
        <w:t xml:space="preserve"> weighting</w:t>
      </w:r>
    </w:p>
    <w:p w:rsidR="00F357D4" w:rsidRPr="00424580" w:rsidRDefault="00F357D4" w:rsidP="00E12A3A">
      <w:pPr>
        <w:pStyle w:val="CoPbullet"/>
        <w:ind w:left="1134" w:hanging="425"/>
      </w:pPr>
      <w:r w:rsidRPr="00424580">
        <w:t xml:space="preserve">Aims </w:t>
      </w:r>
      <w:r w:rsidRPr="00290F5C">
        <w:t>and</w:t>
      </w:r>
      <w:r w:rsidRPr="00424580">
        <w:t xml:space="preserve"> learning outcomes</w:t>
      </w:r>
    </w:p>
    <w:p w:rsidR="00F357D4" w:rsidRPr="000727DB" w:rsidRDefault="00F357D4" w:rsidP="00E12A3A">
      <w:pPr>
        <w:pStyle w:val="CoPbullet"/>
        <w:ind w:left="1134" w:hanging="425"/>
        <w:rPr>
          <w:rFonts w:eastAsia="Times New Roman"/>
          <w:color w:val="000000"/>
        </w:rPr>
      </w:pPr>
      <w:r w:rsidRPr="00290F5C">
        <w:t>Designation</w:t>
      </w:r>
      <w:r>
        <w:rPr>
          <w:rFonts w:eastAsia="Times New Roman"/>
          <w:color w:val="000000"/>
        </w:rPr>
        <w:t xml:space="preserve"> of the module to mandatory</w:t>
      </w:r>
    </w:p>
    <w:p w:rsidR="00247EEC" w:rsidRPr="00CD022B" w:rsidRDefault="00247EEC" w:rsidP="006462DF">
      <w:pPr>
        <w:pStyle w:val="CoPNumberlevel1"/>
        <w:numPr>
          <w:ilvl w:val="1"/>
          <w:numId w:val="50"/>
        </w:numPr>
        <w:ind w:left="709" w:hanging="709"/>
      </w:pPr>
      <w:r w:rsidRPr="00797C7C">
        <w:rPr>
          <w:b/>
        </w:rPr>
        <w:lastRenderedPageBreak/>
        <w:t>Minor modifications</w:t>
      </w:r>
      <w:r>
        <w:t xml:space="preserve"> to modules </w:t>
      </w:r>
      <w:r w:rsidRPr="000727DB">
        <w:t xml:space="preserve">are </w:t>
      </w:r>
      <w:r w:rsidR="009B4F3D">
        <w:t xml:space="preserve">defined as </w:t>
      </w:r>
      <w:r w:rsidRPr="000727DB">
        <w:t xml:space="preserve">changes </w:t>
      </w:r>
      <w:r w:rsidR="009B4F3D">
        <w:t xml:space="preserve">to modules </w:t>
      </w:r>
      <w:r w:rsidRPr="000727DB">
        <w:t xml:space="preserve">which do not have any direct effect on </w:t>
      </w:r>
      <w:r>
        <w:t>the programmes of which they are part and which do not constitute major changes.</w:t>
      </w:r>
    </w:p>
    <w:p w:rsidR="00827EBD" w:rsidRPr="00424580" w:rsidRDefault="00424580" w:rsidP="006462DF">
      <w:pPr>
        <w:pStyle w:val="CoPNumberlevel1"/>
        <w:numPr>
          <w:ilvl w:val="1"/>
          <w:numId w:val="50"/>
        </w:numPr>
        <w:ind w:left="709" w:hanging="709"/>
      </w:pPr>
      <w:r w:rsidRPr="00424580">
        <w:t>The</w:t>
      </w:r>
      <w:r>
        <w:rPr>
          <w:i/>
        </w:rPr>
        <w:t xml:space="preserve"> “</w:t>
      </w:r>
      <w:r w:rsidRPr="00F830C8">
        <w:rPr>
          <w:i/>
        </w:rPr>
        <w:t xml:space="preserve">Procedure for Annual </w:t>
      </w:r>
      <w:r>
        <w:rPr>
          <w:i/>
        </w:rPr>
        <w:t>Review</w:t>
      </w:r>
      <w:r w:rsidRPr="00F830C8">
        <w:rPr>
          <w:i/>
        </w:rPr>
        <w:t xml:space="preserve"> and Approval of </w:t>
      </w:r>
      <w:r>
        <w:rPr>
          <w:i/>
        </w:rPr>
        <w:t xml:space="preserve">Minor </w:t>
      </w:r>
      <w:r w:rsidRPr="00F830C8">
        <w:rPr>
          <w:i/>
        </w:rPr>
        <w:t xml:space="preserve">Modifications to Programmes and </w:t>
      </w:r>
      <w:r>
        <w:rPr>
          <w:i/>
        </w:rPr>
        <w:t xml:space="preserve">Major/Minor Modifications to </w:t>
      </w:r>
      <w:r w:rsidRPr="00F830C8">
        <w:rPr>
          <w:i/>
        </w:rPr>
        <w:t>Modules</w:t>
      </w:r>
      <w:r>
        <w:rPr>
          <w:i/>
        </w:rPr>
        <w:t xml:space="preserve">” </w:t>
      </w:r>
      <w:r w:rsidR="00827EBD" w:rsidRPr="00424580">
        <w:t>details the following stages:</w:t>
      </w:r>
    </w:p>
    <w:p w:rsidR="007A1B5C" w:rsidRDefault="007A1B5C" w:rsidP="005E097C">
      <w:pPr>
        <w:pStyle w:val="CoPNumberlevel1"/>
        <w:numPr>
          <w:ilvl w:val="2"/>
          <w:numId w:val="50"/>
        </w:numPr>
        <w:ind w:left="1418" w:hanging="698"/>
      </w:pPr>
      <w:r w:rsidRPr="009D0309">
        <w:rPr>
          <w:b/>
        </w:rPr>
        <w:t>Stage 1:</w:t>
      </w:r>
      <w:r>
        <w:t xml:space="preserve">  The Board of Studies </w:t>
      </w:r>
      <w:r w:rsidR="00B3648D">
        <w:t xml:space="preserve">will consider </w:t>
      </w:r>
      <w:r>
        <w:t>the proposed modifications</w:t>
      </w:r>
      <w:r w:rsidR="00B3648D">
        <w:t xml:space="preserve"> and </w:t>
      </w:r>
      <w:r w:rsidR="00F357D4">
        <w:t xml:space="preserve">if considered to be appropriate, will request approval for the changes </w:t>
      </w:r>
    </w:p>
    <w:p w:rsidR="00827EBD" w:rsidRPr="009032A2" w:rsidRDefault="007A1B5C" w:rsidP="005E097C">
      <w:pPr>
        <w:pStyle w:val="CoPNumberlevel1"/>
        <w:numPr>
          <w:ilvl w:val="2"/>
          <w:numId w:val="50"/>
        </w:numPr>
        <w:ind w:left="1418" w:hanging="698"/>
      </w:pPr>
      <w:r w:rsidRPr="00C14E8B">
        <w:rPr>
          <w:b/>
        </w:rPr>
        <w:t>Stage 2:</w:t>
      </w:r>
      <w:r>
        <w:t xml:space="preserve">  </w:t>
      </w:r>
      <w:r w:rsidR="00A93755">
        <w:t xml:space="preserve">As part of the annual module </w:t>
      </w:r>
      <w:r w:rsidR="00A93755" w:rsidRPr="00C06A5D">
        <w:t>review process</w:t>
      </w:r>
      <w:r w:rsidR="00A93755">
        <w:t xml:space="preserve"> t</w:t>
      </w:r>
      <w:r>
        <w:t xml:space="preserve">he QMC </w:t>
      </w:r>
      <w:r w:rsidR="00B3648D">
        <w:t>will consider</w:t>
      </w:r>
      <w:r w:rsidR="00A93755">
        <w:t xml:space="preserve"> </w:t>
      </w:r>
      <w:r>
        <w:t xml:space="preserve">proposed </w:t>
      </w:r>
      <w:r w:rsidR="00A93755">
        <w:t xml:space="preserve">minor and major </w:t>
      </w:r>
      <w:r>
        <w:t xml:space="preserve">modifications </w:t>
      </w:r>
      <w:r w:rsidR="00A93755">
        <w:t xml:space="preserve">to modules.  Minor </w:t>
      </w:r>
      <w:r w:rsidR="00167864">
        <w:t>modifications</w:t>
      </w:r>
      <w:r w:rsidR="00A93755">
        <w:t xml:space="preserve"> </w:t>
      </w:r>
      <w:r w:rsidR="00167864">
        <w:t>may</w:t>
      </w:r>
      <w:r w:rsidR="00A93755">
        <w:t xml:space="preserve"> be approved by QMC</w:t>
      </w:r>
      <w:r w:rsidR="00167864">
        <w:t xml:space="preserve">.  Endorsements for major modifications are recommended for approval by the L&amp;T </w:t>
      </w:r>
      <w:r w:rsidR="00167864" w:rsidRPr="009032A2">
        <w:t>Committee</w:t>
      </w:r>
      <w:r w:rsidR="00C14E8B" w:rsidRPr="009032A2">
        <w:t xml:space="preserve">  </w:t>
      </w:r>
    </w:p>
    <w:p w:rsidR="00D3300C" w:rsidRPr="00AD557A" w:rsidRDefault="00D3300C" w:rsidP="00A21773">
      <w:pPr>
        <w:pStyle w:val="CoPborderheading"/>
        <w:numPr>
          <w:ilvl w:val="0"/>
          <w:numId w:val="50"/>
        </w:numPr>
        <w:rPr>
          <w:rFonts w:hint="eastAsia"/>
        </w:rPr>
      </w:pPr>
      <w:bookmarkStart w:id="9" w:name="_Toc426547857"/>
      <w:r w:rsidRPr="00AD557A">
        <w:t>Programme Monitoring</w:t>
      </w:r>
      <w:bookmarkEnd w:id="9"/>
    </w:p>
    <w:p w:rsidR="0089451A" w:rsidRDefault="00F05AAE" w:rsidP="006462DF">
      <w:pPr>
        <w:pStyle w:val="CoPNumberlevel1"/>
        <w:numPr>
          <w:ilvl w:val="1"/>
          <w:numId w:val="50"/>
        </w:numPr>
        <w:ind w:left="709" w:hanging="709"/>
      </w:pPr>
      <w:r>
        <w:t xml:space="preserve">A programme </w:t>
      </w:r>
      <w:r w:rsidR="00BF5025">
        <w:t xml:space="preserve">(and its constituent modules if appropriate) </w:t>
      </w:r>
      <w:r>
        <w:t>must be reviewed at least once during the academic year at a time appropriate to when it is delivered</w:t>
      </w:r>
      <w:r w:rsidR="0089451A">
        <w:t>.</w:t>
      </w:r>
    </w:p>
    <w:p w:rsidR="00F05AAE" w:rsidRDefault="0089451A" w:rsidP="006462DF">
      <w:pPr>
        <w:pStyle w:val="CoPNumberlevel1"/>
        <w:numPr>
          <w:ilvl w:val="1"/>
          <w:numId w:val="50"/>
        </w:numPr>
        <w:ind w:left="709" w:hanging="709"/>
      </w:pPr>
      <w:r>
        <w:t xml:space="preserve">The </w:t>
      </w:r>
      <w:r w:rsidR="0042595F" w:rsidRPr="0042595F">
        <w:rPr>
          <w:i/>
        </w:rPr>
        <w:t xml:space="preserve">Procedure for Annual </w:t>
      </w:r>
      <w:r w:rsidR="00A93755">
        <w:rPr>
          <w:i/>
        </w:rPr>
        <w:t>Review</w:t>
      </w:r>
      <w:r w:rsidR="00A93755" w:rsidRPr="0042595F">
        <w:rPr>
          <w:i/>
        </w:rPr>
        <w:t xml:space="preserve"> </w:t>
      </w:r>
      <w:r w:rsidR="0042595F" w:rsidRPr="0042595F">
        <w:rPr>
          <w:i/>
        </w:rPr>
        <w:t>and Approval of Minor Modifications to Programmes and</w:t>
      </w:r>
      <w:r w:rsidR="00A93755">
        <w:rPr>
          <w:i/>
        </w:rPr>
        <w:t xml:space="preserve"> Major/Minor Modifications to</w:t>
      </w:r>
      <w:r w:rsidR="0042595F" w:rsidRPr="0042595F">
        <w:rPr>
          <w:i/>
        </w:rPr>
        <w:t xml:space="preserve"> Modules </w:t>
      </w:r>
      <w:r w:rsidR="0042595F" w:rsidRPr="003473AA">
        <w:t>details</w:t>
      </w:r>
      <w:r w:rsidR="0042595F" w:rsidRPr="0042595F">
        <w:rPr>
          <w:i/>
        </w:rPr>
        <w:t xml:space="preserve"> </w:t>
      </w:r>
      <w:r>
        <w:t xml:space="preserve">the process to be followed for the annual review of programmes and modules. </w:t>
      </w:r>
      <w:r w:rsidR="00424580">
        <w:t xml:space="preserve"> </w:t>
      </w:r>
      <w:r w:rsidR="005E20A1">
        <w:t xml:space="preserve">The Annual Programme Review will be written by the Director of Studies and will be submitted </w:t>
      </w:r>
      <w:r>
        <w:t xml:space="preserve">to </w:t>
      </w:r>
      <w:r w:rsidR="005E20A1">
        <w:t xml:space="preserve">the Board of Studies for discussion and approval </w:t>
      </w:r>
      <w:r w:rsidR="00A93755">
        <w:t>for request</w:t>
      </w:r>
      <w:r w:rsidR="005E20A1">
        <w:t xml:space="preserve"> of any proposed changes before consideration by the QMC.  The Annual Module Review will be written by the Module Convenor and follow the same approval process.</w:t>
      </w:r>
    </w:p>
    <w:p w:rsidR="00D3300C" w:rsidRPr="00FB0562" w:rsidRDefault="00D3300C" w:rsidP="006462DF">
      <w:pPr>
        <w:pStyle w:val="CoPNumberlevel1"/>
        <w:numPr>
          <w:ilvl w:val="1"/>
          <w:numId w:val="50"/>
        </w:numPr>
        <w:ind w:left="709" w:hanging="709"/>
      </w:pPr>
      <w:r w:rsidRPr="00162A7B">
        <w:t>The</w:t>
      </w:r>
      <w:r>
        <w:t xml:space="preserve"> purpose of </w:t>
      </w:r>
      <w:r w:rsidR="001F1046">
        <w:t xml:space="preserve">programme </w:t>
      </w:r>
      <w:r>
        <w:t>monitoring</w:t>
      </w:r>
      <w:r w:rsidR="001F1046">
        <w:t xml:space="preserve"> </w:t>
      </w:r>
      <w:r>
        <w:t xml:space="preserve">is to ensure that: </w:t>
      </w:r>
    </w:p>
    <w:p w:rsidR="00D3300C" w:rsidRPr="00E812AF" w:rsidRDefault="001F1046" w:rsidP="005E097C">
      <w:pPr>
        <w:pStyle w:val="CoPNumberlevel1"/>
        <w:numPr>
          <w:ilvl w:val="2"/>
          <w:numId w:val="50"/>
        </w:numPr>
        <w:ind w:left="1418" w:hanging="698"/>
      </w:pPr>
      <w:r>
        <w:t>H</w:t>
      </w:r>
      <w:r w:rsidR="00D3300C" w:rsidRPr="00E812AF">
        <w:t xml:space="preserve">igh standards </w:t>
      </w:r>
      <w:r>
        <w:t xml:space="preserve">are maintained </w:t>
      </w:r>
      <w:r w:rsidR="00D3300C" w:rsidRPr="00E812AF">
        <w:t xml:space="preserve">in the quality of teaching </w:t>
      </w:r>
    </w:p>
    <w:p w:rsidR="00D3300C" w:rsidRPr="00185096" w:rsidRDefault="00D3300C" w:rsidP="005E097C">
      <w:pPr>
        <w:pStyle w:val="CoPNumberlevel1"/>
        <w:numPr>
          <w:ilvl w:val="2"/>
          <w:numId w:val="50"/>
        </w:numPr>
        <w:ind w:left="1418" w:hanging="698"/>
      </w:pPr>
      <w:r w:rsidRPr="00E812AF">
        <w:t>T</w:t>
      </w:r>
      <w:r w:rsidRPr="00185096">
        <w:t>he quality of learning opportunities conforms to external standards</w:t>
      </w:r>
    </w:p>
    <w:p w:rsidR="00D3300C" w:rsidRPr="00185096" w:rsidRDefault="00D3300C" w:rsidP="005E097C">
      <w:pPr>
        <w:pStyle w:val="CoPNumberlevel1"/>
        <w:numPr>
          <w:ilvl w:val="2"/>
          <w:numId w:val="50"/>
        </w:numPr>
        <w:ind w:left="1418" w:hanging="698"/>
      </w:pPr>
      <w:r w:rsidRPr="00185096">
        <w:t xml:space="preserve">Learning and teaching developments are informed by </w:t>
      </w:r>
      <w:r w:rsidR="001F1046">
        <w:t xml:space="preserve">the </w:t>
      </w:r>
      <w:r w:rsidRPr="00185096">
        <w:t>views of</w:t>
      </w:r>
      <w:r w:rsidR="00E76DF9">
        <w:t xml:space="preserve"> staff, students, graduates, </w:t>
      </w:r>
      <w:r w:rsidRPr="00185096">
        <w:t>external examiners</w:t>
      </w:r>
      <w:r w:rsidR="00E76DF9">
        <w:t xml:space="preserve"> and other stakeholders</w:t>
      </w:r>
      <w:r w:rsidRPr="00185096">
        <w:t xml:space="preserve"> </w:t>
      </w:r>
    </w:p>
    <w:p w:rsidR="00D3300C" w:rsidRPr="00185096" w:rsidRDefault="00044E88" w:rsidP="005E097C">
      <w:pPr>
        <w:pStyle w:val="CoPNumberlevel1"/>
        <w:numPr>
          <w:ilvl w:val="2"/>
          <w:numId w:val="50"/>
        </w:numPr>
        <w:ind w:left="1418" w:hanging="698"/>
      </w:pPr>
      <w:r>
        <w:t xml:space="preserve">The </w:t>
      </w:r>
      <w:r w:rsidR="00D3300C" w:rsidRPr="00185096">
        <w:t xml:space="preserve">aims and learning outcomes </w:t>
      </w:r>
      <w:r>
        <w:t xml:space="preserve">of modules </w:t>
      </w:r>
      <w:r w:rsidR="00D3300C" w:rsidRPr="00185096">
        <w:t xml:space="preserve">are consistent with the programme(s) of which they </w:t>
      </w:r>
      <w:r w:rsidR="00E76DF9">
        <w:t xml:space="preserve">form a </w:t>
      </w:r>
      <w:r w:rsidR="00D3300C" w:rsidRPr="00185096">
        <w:t xml:space="preserve">part </w:t>
      </w:r>
    </w:p>
    <w:p w:rsidR="00D3300C" w:rsidRPr="00185096" w:rsidRDefault="00D3300C" w:rsidP="005E097C">
      <w:pPr>
        <w:pStyle w:val="CoPNumberlevel1"/>
        <w:numPr>
          <w:ilvl w:val="2"/>
          <w:numId w:val="50"/>
        </w:numPr>
        <w:ind w:left="1418" w:hanging="698"/>
      </w:pPr>
      <w:r w:rsidRPr="009032A2">
        <w:t>Resource</w:t>
      </w:r>
      <w:r w:rsidRPr="00185096">
        <w:t xml:space="preserve"> issues affecting </w:t>
      </w:r>
      <w:r w:rsidR="00E76DF9">
        <w:t xml:space="preserve">the student learning experience </w:t>
      </w:r>
      <w:r w:rsidRPr="00185096">
        <w:t xml:space="preserve">are identified </w:t>
      </w:r>
    </w:p>
    <w:p w:rsidR="00D3300C" w:rsidRPr="00185096" w:rsidRDefault="00D3300C" w:rsidP="005E097C">
      <w:pPr>
        <w:pStyle w:val="CoPNumberlevel1"/>
        <w:numPr>
          <w:ilvl w:val="2"/>
          <w:numId w:val="50"/>
        </w:numPr>
        <w:ind w:left="1418" w:hanging="698"/>
      </w:pPr>
      <w:r w:rsidRPr="009032A2">
        <w:t>Effective</w:t>
      </w:r>
      <w:r w:rsidRPr="00185096">
        <w:t xml:space="preserve"> practice is highlighted and disseminated </w:t>
      </w:r>
    </w:p>
    <w:p w:rsidR="00D3300C" w:rsidRDefault="00D3300C" w:rsidP="005E097C">
      <w:pPr>
        <w:pStyle w:val="CoPNumberlevel1"/>
        <w:numPr>
          <w:ilvl w:val="2"/>
          <w:numId w:val="50"/>
        </w:numPr>
        <w:ind w:left="1418" w:hanging="698"/>
      </w:pPr>
      <w:r w:rsidRPr="00185096">
        <w:t>A clea</w:t>
      </w:r>
      <w:r w:rsidRPr="00E812AF">
        <w:t>r action plan for quality enhancement is developed</w:t>
      </w:r>
    </w:p>
    <w:p w:rsidR="00E84EE2" w:rsidRDefault="00E84EE2" w:rsidP="005E097C">
      <w:pPr>
        <w:pStyle w:val="CoPNumberlevel1"/>
        <w:numPr>
          <w:ilvl w:val="2"/>
          <w:numId w:val="50"/>
        </w:numPr>
        <w:ind w:left="1418" w:hanging="698"/>
      </w:pPr>
      <w:r>
        <w:t>Issues regarding future recruitment and/or financial sustainability are identified</w:t>
      </w:r>
    </w:p>
    <w:p w:rsidR="00266D34" w:rsidRDefault="00266D34" w:rsidP="006462DF">
      <w:pPr>
        <w:pStyle w:val="CoPNumberlevel1"/>
        <w:numPr>
          <w:ilvl w:val="1"/>
          <w:numId w:val="50"/>
        </w:numPr>
        <w:ind w:left="709" w:hanging="709"/>
      </w:pPr>
      <w:r w:rsidRPr="00162A7B">
        <w:lastRenderedPageBreak/>
        <w:t>Reviews</w:t>
      </w:r>
      <w:r>
        <w:t xml:space="preserve"> should </w:t>
      </w:r>
      <w:r w:rsidR="00DE631F">
        <w:t>identif</w:t>
      </w:r>
      <w:r>
        <w:t xml:space="preserve">y </w:t>
      </w:r>
      <w:r w:rsidR="00A93755">
        <w:t xml:space="preserve">what has gone well during the year, areas for improvement/enhancement and </w:t>
      </w:r>
      <w:r w:rsidR="00DE631F">
        <w:t xml:space="preserve">effective practice </w:t>
      </w:r>
      <w:r w:rsidR="00A93755">
        <w:t>which can be shared</w:t>
      </w:r>
      <w:r w:rsidR="00E75F5D">
        <w:t xml:space="preserve">, </w:t>
      </w:r>
      <w:r w:rsidR="00A93755">
        <w:t xml:space="preserve">together with </w:t>
      </w:r>
      <w:r w:rsidR="00DE631F">
        <w:t xml:space="preserve">an action plan </w:t>
      </w:r>
      <w:r w:rsidR="00D3300C" w:rsidRPr="005B5FB0">
        <w:t xml:space="preserve">for the </w:t>
      </w:r>
      <w:r w:rsidR="00DE631F">
        <w:t>next a</w:t>
      </w:r>
      <w:r w:rsidR="00D3300C" w:rsidRPr="005B5FB0">
        <w:t>cademic year</w:t>
      </w:r>
      <w:r w:rsidR="00DE631F">
        <w:t>.</w:t>
      </w:r>
      <w:r w:rsidRPr="00266D34">
        <w:t xml:space="preserve"> </w:t>
      </w:r>
      <w:r>
        <w:t>Reviews are expected to be evaluative and reflective rather than descriptive and to draw on as wide a range of evidence as possible.</w:t>
      </w:r>
    </w:p>
    <w:p w:rsidR="00D3300C" w:rsidRPr="00AD557A" w:rsidRDefault="000F25F7" w:rsidP="00A21773">
      <w:pPr>
        <w:pStyle w:val="CoPborderheading"/>
        <w:numPr>
          <w:ilvl w:val="0"/>
          <w:numId w:val="50"/>
        </w:numPr>
        <w:rPr>
          <w:rFonts w:hint="eastAsia"/>
        </w:rPr>
      </w:pPr>
      <w:bookmarkStart w:id="10" w:name="_Toc426547858"/>
      <w:r>
        <w:t>Re-approval of P</w:t>
      </w:r>
      <w:r w:rsidR="00A2167C">
        <w:t>rogramme</w:t>
      </w:r>
      <w:r>
        <w:t>s and Periodic</w:t>
      </w:r>
      <w:r w:rsidR="00A2167C">
        <w:t xml:space="preserve"> </w:t>
      </w:r>
      <w:r w:rsidR="00D3300C" w:rsidRPr="00AD557A">
        <w:t>Review</w:t>
      </w:r>
      <w:bookmarkEnd w:id="10"/>
    </w:p>
    <w:p w:rsidR="002F3521" w:rsidRDefault="00B0206E" w:rsidP="006462DF">
      <w:pPr>
        <w:pStyle w:val="CoPNumberlevel1"/>
        <w:numPr>
          <w:ilvl w:val="1"/>
          <w:numId w:val="50"/>
        </w:numPr>
        <w:ind w:left="709" w:hanging="709"/>
      </w:pPr>
      <w:r>
        <w:t>Programmes will be reviewed for re-approval according to the timescale specified at the point of initial approval</w:t>
      </w:r>
      <w:r w:rsidR="002F3521">
        <w:t xml:space="preserve">.  The </w:t>
      </w:r>
      <w:r w:rsidR="00F76821">
        <w:t>process</w:t>
      </w:r>
      <w:r w:rsidR="002F3521">
        <w:t xml:space="preserve"> should follow that described in </w:t>
      </w:r>
      <w:r w:rsidR="00F76821">
        <w:t xml:space="preserve">Section </w:t>
      </w:r>
      <w:r w:rsidR="00083A2D">
        <w:t>5</w:t>
      </w:r>
      <w:r w:rsidR="002F3521">
        <w:t>.2 but the documentation should in addition include consideration of:</w:t>
      </w:r>
    </w:p>
    <w:p w:rsidR="001B65FA" w:rsidRDefault="001B65FA" w:rsidP="005E097C">
      <w:pPr>
        <w:pStyle w:val="CoPNumberlevel1"/>
        <w:numPr>
          <w:ilvl w:val="2"/>
          <w:numId w:val="50"/>
        </w:numPr>
        <w:ind w:left="1418" w:hanging="698"/>
      </w:pPr>
      <w:r w:rsidRPr="009032A2">
        <w:t>Incremental</w:t>
      </w:r>
      <w:r>
        <w:t xml:space="preserve"> changes made since approval as a result of </w:t>
      </w:r>
      <w:r w:rsidR="0043689E">
        <w:t xml:space="preserve">annual </w:t>
      </w:r>
      <w:r>
        <w:t>monitoring</w:t>
      </w:r>
    </w:p>
    <w:p w:rsidR="001B65FA" w:rsidRDefault="001B65FA" w:rsidP="005E097C">
      <w:pPr>
        <w:pStyle w:val="CoPNumberlevel1"/>
        <w:numPr>
          <w:ilvl w:val="2"/>
          <w:numId w:val="50"/>
        </w:numPr>
        <w:ind w:left="1418" w:hanging="698"/>
      </w:pPr>
      <w:r w:rsidRPr="009032A2">
        <w:t>The</w:t>
      </w:r>
      <w:r>
        <w:t xml:space="preserve"> continuing relevance and financial sustainability of the programme</w:t>
      </w:r>
    </w:p>
    <w:p w:rsidR="001B65FA" w:rsidRDefault="001B65FA" w:rsidP="005E097C">
      <w:pPr>
        <w:pStyle w:val="CoPNumberlevel1"/>
        <w:numPr>
          <w:ilvl w:val="2"/>
          <w:numId w:val="50"/>
        </w:numPr>
        <w:ind w:left="1418" w:hanging="698"/>
      </w:pPr>
      <w:r w:rsidRPr="009032A2">
        <w:t>P</w:t>
      </w:r>
      <w:r w:rsidR="0043689E" w:rsidRPr="009032A2">
        <w:t>roposed r</w:t>
      </w:r>
      <w:r w:rsidR="0043689E">
        <w:t>evisions to the programme and module specifications</w:t>
      </w:r>
      <w:r>
        <w:t xml:space="preserve"> and how these have been informed by experien</w:t>
      </w:r>
      <w:r w:rsidR="002842CB">
        <w:t>ce of delivering the programme</w:t>
      </w:r>
    </w:p>
    <w:p w:rsidR="006F16BD" w:rsidRDefault="00B0206E" w:rsidP="006462DF">
      <w:pPr>
        <w:pStyle w:val="CoPNumberlevel1"/>
        <w:numPr>
          <w:ilvl w:val="1"/>
          <w:numId w:val="50"/>
        </w:numPr>
        <w:ind w:left="709" w:hanging="709"/>
      </w:pPr>
      <w:r w:rsidRPr="00FE580B">
        <w:rPr>
          <w:rFonts w:eastAsia="Times New Roman"/>
          <w:color w:val="000000"/>
        </w:rPr>
        <w:t>LSTM</w:t>
      </w:r>
      <w:r>
        <w:t xml:space="preserve"> will organise a p</w:t>
      </w:r>
      <w:r w:rsidRPr="00B66811">
        <w:t>eriodic review</w:t>
      </w:r>
      <w:r>
        <w:t xml:space="preserve"> of all of its teaching provision every five years</w:t>
      </w:r>
      <w:r w:rsidR="000F25F7">
        <w:t xml:space="preserve"> according to the </w:t>
      </w:r>
      <w:r w:rsidR="00094E0D" w:rsidRPr="00094E0D">
        <w:rPr>
          <w:i/>
        </w:rPr>
        <w:t>P</w:t>
      </w:r>
      <w:r w:rsidR="00094E0D">
        <w:rPr>
          <w:i/>
        </w:rPr>
        <w:t>rocedure for Periodic R</w:t>
      </w:r>
      <w:r w:rsidR="000F25F7" w:rsidRPr="000F25F7">
        <w:rPr>
          <w:i/>
        </w:rPr>
        <w:t>eview</w:t>
      </w:r>
      <w:r w:rsidR="000F25F7">
        <w:t xml:space="preserve">. </w:t>
      </w:r>
      <w:r w:rsidR="00F76821">
        <w:t xml:space="preserve"> </w:t>
      </w:r>
      <w:r w:rsidR="000F25F7">
        <w:t>The review will be</w:t>
      </w:r>
      <w:r>
        <w:t xml:space="preserve"> timed to coincide with the mid-point between institutional reviews by the QAA</w:t>
      </w:r>
      <w:r w:rsidR="000F25F7">
        <w:t xml:space="preserve"> and involve external reviewers and students</w:t>
      </w:r>
      <w:r>
        <w:t>.</w:t>
      </w:r>
      <w:r w:rsidR="000F25F7">
        <w:t xml:space="preserve"> </w:t>
      </w:r>
      <w:r w:rsidR="00F76821">
        <w:t xml:space="preserve"> </w:t>
      </w:r>
      <w:r>
        <w:t>The remit of periodic review will be broad and</w:t>
      </w:r>
      <w:r w:rsidR="0043689E">
        <w:t xml:space="preserve"> consider the continuing validity and relevance of the teaching portfolio, the provision of learning opportunities and the quality of the student experience.</w:t>
      </w:r>
    </w:p>
    <w:p w:rsidR="00D3300C" w:rsidRPr="00AD557A" w:rsidRDefault="00D3300C" w:rsidP="00A21773">
      <w:pPr>
        <w:pStyle w:val="CoPborderheading"/>
        <w:numPr>
          <w:ilvl w:val="0"/>
          <w:numId w:val="50"/>
        </w:numPr>
        <w:rPr>
          <w:rFonts w:hint="eastAsia"/>
        </w:rPr>
      </w:pPr>
      <w:bookmarkStart w:id="11" w:name="_Toc426547859"/>
      <w:r w:rsidRPr="00AD557A">
        <w:t>Programme Closure</w:t>
      </w:r>
      <w:bookmarkEnd w:id="11"/>
    </w:p>
    <w:p w:rsidR="00266D34" w:rsidRDefault="005E20A1" w:rsidP="006462DF">
      <w:pPr>
        <w:pStyle w:val="CoPNumberlevel1"/>
        <w:numPr>
          <w:ilvl w:val="1"/>
          <w:numId w:val="50"/>
        </w:numPr>
        <w:ind w:left="709" w:hanging="709"/>
      </w:pPr>
      <w:r>
        <w:t xml:space="preserve">The </w:t>
      </w:r>
      <w:r w:rsidR="000F25F7">
        <w:t xml:space="preserve">Management </w:t>
      </w:r>
      <w:r w:rsidR="00811097">
        <w:t xml:space="preserve">Committee </w:t>
      </w:r>
      <w:r w:rsidR="000F25F7">
        <w:t xml:space="preserve">will </w:t>
      </w:r>
      <w:r w:rsidR="00D3300C">
        <w:t xml:space="preserve">discontinue </w:t>
      </w:r>
      <w:r w:rsidR="00811097">
        <w:t xml:space="preserve">or suspend </w:t>
      </w:r>
      <w:r w:rsidR="00D3300C">
        <w:t xml:space="preserve">a programme </w:t>
      </w:r>
      <w:r w:rsidR="000F25F7">
        <w:t xml:space="preserve">upon the recommendation of L&amp;T </w:t>
      </w:r>
      <w:r w:rsidR="00D3300C">
        <w:t>Committee</w:t>
      </w:r>
      <w:r w:rsidR="00811097">
        <w:t xml:space="preserve"> based on the outcomes of monitoring and review.  </w:t>
      </w:r>
    </w:p>
    <w:p w:rsidR="00F73068" w:rsidRDefault="00266D34" w:rsidP="006462DF">
      <w:pPr>
        <w:pStyle w:val="CoPNumberlevel1"/>
        <w:numPr>
          <w:ilvl w:val="1"/>
          <w:numId w:val="50"/>
        </w:numPr>
        <w:ind w:left="709" w:hanging="709"/>
      </w:pPr>
      <w:r>
        <w:t xml:space="preserve">Programmes </w:t>
      </w:r>
      <w:r w:rsidRPr="00266D34">
        <w:t xml:space="preserve">may be </w:t>
      </w:r>
      <w:r>
        <w:t xml:space="preserve">discontinued or suspended </w:t>
      </w:r>
      <w:r w:rsidRPr="00266D34">
        <w:t>without the withdrawa</w:t>
      </w:r>
      <w:r w:rsidR="00F62F3D">
        <w:t>l of their constituent modules.</w:t>
      </w:r>
    </w:p>
    <w:p w:rsidR="00EC0768" w:rsidRDefault="00EC0768">
      <w:pPr>
        <w:rPr>
          <w:rFonts w:ascii="Arial Bold" w:hAnsi="Arial Bold" w:cs="Arial" w:hint="eastAsia"/>
          <w:b/>
          <w:bCs/>
          <w:color w:val="943634" w:themeColor="accent2" w:themeShade="BF"/>
          <w:sz w:val="24"/>
          <w:szCs w:val="28"/>
        </w:rPr>
      </w:pPr>
      <w:r>
        <w:rPr>
          <w:rFonts w:hint="eastAsia"/>
        </w:rPr>
        <w:br w:type="page"/>
      </w:r>
    </w:p>
    <w:p w:rsidR="00E32AEF" w:rsidRPr="00811097" w:rsidRDefault="00E32AEF" w:rsidP="00A17FD8">
      <w:pPr>
        <w:pStyle w:val="CoPborderheading"/>
        <w:rPr>
          <w:rFonts w:hint="eastAsia"/>
        </w:rPr>
      </w:pPr>
      <w:bookmarkStart w:id="12" w:name="_Toc426547860"/>
      <w:r>
        <w:lastRenderedPageBreak/>
        <w:t>Appendix 1:  Overview of Programme Approval</w:t>
      </w:r>
      <w:bookmarkEnd w:id="12"/>
    </w:p>
    <w:p w:rsidR="00AA525E" w:rsidRDefault="00AA525E"/>
    <w:p w:rsidR="008F0AED" w:rsidRDefault="00200D8E">
      <w:r>
        <w:object w:dxaOrig="5836" w:dyaOrig="14715" w14:anchorId="4541A8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589.5pt" o:ole="">
            <v:imagedata r:id="rId9" o:title=""/>
          </v:shape>
          <o:OLEObject Type="Embed" ProgID="Visio.Drawing.15" ShapeID="_x0000_i1025" DrawAspect="Content" ObjectID="_1610351837" r:id="rId10"/>
        </w:object>
      </w:r>
    </w:p>
    <w:p w:rsidR="008F0AED" w:rsidRDefault="008F0AED"/>
    <w:p w:rsidR="008F0AED" w:rsidRDefault="008F0AED">
      <w:r>
        <w:br w:type="page"/>
      </w:r>
    </w:p>
    <w:tbl>
      <w:tblPr>
        <w:tblW w:w="4979" w:type="pct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1129"/>
        <w:gridCol w:w="1844"/>
        <w:gridCol w:w="5994"/>
      </w:tblGrid>
      <w:tr w:rsidR="00AA525E" w:rsidRPr="00853D2A" w:rsidTr="0019299F">
        <w:trPr>
          <w:trHeight w:val="397"/>
        </w:trPr>
        <w:tc>
          <w:tcPr>
            <w:tcW w:w="5000" w:type="pct"/>
            <w:gridSpan w:val="3"/>
            <w:shd w:val="clear" w:color="auto" w:fill="E5B8B7" w:themeFill="accent2" w:themeFillTint="66"/>
            <w:vAlign w:val="center"/>
            <w:hideMark/>
          </w:tcPr>
          <w:p w:rsidR="00AA525E" w:rsidRPr="00805611" w:rsidRDefault="00AA525E" w:rsidP="0019299F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Annex of Modifications</w:t>
            </w:r>
          </w:p>
        </w:tc>
      </w:tr>
      <w:tr w:rsidR="00AA525E" w:rsidRPr="00853D2A" w:rsidTr="008F0AED">
        <w:trPr>
          <w:trHeight w:val="397"/>
        </w:trPr>
        <w:tc>
          <w:tcPr>
            <w:tcW w:w="630" w:type="pct"/>
            <w:vAlign w:val="center"/>
          </w:tcPr>
          <w:p w:rsidR="00AA525E" w:rsidRPr="00F76F9B" w:rsidRDefault="00AA525E" w:rsidP="0019299F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76F9B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028" w:type="pct"/>
            <w:vAlign w:val="center"/>
          </w:tcPr>
          <w:p w:rsidR="00AA525E" w:rsidRPr="00F76F9B" w:rsidRDefault="00AA525E" w:rsidP="0019299F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76F9B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342" w:type="pct"/>
            <w:vAlign w:val="center"/>
          </w:tcPr>
          <w:p w:rsidR="00AA525E" w:rsidRPr="00F76F9B" w:rsidRDefault="00AA525E" w:rsidP="0019299F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76F9B">
              <w:rPr>
                <w:rFonts w:ascii="Arial" w:hAnsi="Arial" w:cs="Arial"/>
                <w:b/>
              </w:rPr>
              <w:t>Details of modification from previous version</w:t>
            </w:r>
          </w:p>
        </w:tc>
      </w:tr>
      <w:tr w:rsidR="00AA525E" w:rsidRPr="00853D2A" w:rsidTr="008F0AED">
        <w:trPr>
          <w:trHeight w:val="397"/>
        </w:trPr>
        <w:tc>
          <w:tcPr>
            <w:tcW w:w="630" w:type="pct"/>
            <w:vAlign w:val="center"/>
          </w:tcPr>
          <w:p w:rsidR="00AA525E" w:rsidRPr="00805611" w:rsidRDefault="00AA525E" w:rsidP="0019299F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1028" w:type="pct"/>
            <w:vAlign w:val="center"/>
          </w:tcPr>
          <w:p w:rsidR="00AA525E" w:rsidRPr="00805611" w:rsidRDefault="00AA525E" w:rsidP="0019299F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30.01.15</w:t>
            </w:r>
          </w:p>
        </w:tc>
        <w:tc>
          <w:tcPr>
            <w:tcW w:w="3342" w:type="pct"/>
            <w:vAlign w:val="center"/>
          </w:tcPr>
          <w:p w:rsidR="00AA525E" w:rsidRPr="00805611" w:rsidRDefault="00AA525E" w:rsidP="0019299F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edits following review by Management Committee 28.01.15</w:t>
            </w:r>
          </w:p>
        </w:tc>
      </w:tr>
      <w:tr w:rsidR="00AA525E" w:rsidRPr="00853D2A" w:rsidTr="008F0AED">
        <w:trPr>
          <w:trHeight w:val="397"/>
        </w:trPr>
        <w:tc>
          <w:tcPr>
            <w:tcW w:w="630" w:type="pct"/>
            <w:vAlign w:val="center"/>
          </w:tcPr>
          <w:p w:rsidR="00AA525E" w:rsidRPr="00805611" w:rsidRDefault="00B901B7" w:rsidP="0019299F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028" w:type="pct"/>
            <w:vAlign w:val="center"/>
          </w:tcPr>
          <w:p w:rsidR="00AA525E" w:rsidRPr="00805611" w:rsidRDefault="00B901B7" w:rsidP="0019299F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10/04/15</w:t>
            </w:r>
          </w:p>
        </w:tc>
        <w:tc>
          <w:tcPr>
            <w:tcW w:w="3342" w:type="pct"/>
            <w:vAlign w:val="center"/>
          </w:tcPr>
          <w:p w:rsidR="00AA525E" w:rsidRPr="00805611" w:rsidRDefault="00B901B7" w:rsidP="0019299F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edits following University of Liverpool Accreditation review 02.03.15</w:t>
            </w:r>
          </w:p>
        </w:tc>
      </w:tr>
      <w:tr w:rsidR="00AA525E" w:rsidRPr="00853D2A" w:rsidTr="008F0AED">
        <w:trPr>
          <w:trHeight w:val="397"/>
        </w:trPr>
        <w:tc>
          <w:tcPr>
            <w:tcW w:w="630" w:type="pct"/>
            <w:vAlign w:val="center"/>
          </w:tcPr>
          <w:p w:rsidR="00AA525E" w:rsidRPr="00805611" w:rsidRDefault="00A93755" w:rsidP="0019299F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1028" w:type="pct"/>
            <w:vAlign w:val="center"/>
          </w:tcPr>
          <w:p w:rsidR="00AA525E" w:rsidRPr="00805611" w:rsidRDefault="00A93755" w:rsidP="0019299F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03/08/15</w:t>
            </w:r>
          </w:p>
        </w:tc>
        <w:tc>
          <w:tcPr>
            <w:tcW w:w="3342" w:type="pct"/>
            <w:vAlign w:val="center"/>
          </w:tcPr>
          <w:p w:rsidR="00AA525E" w:rsidRPr="00805611" w:rsidRDefault="00A93755" w:rsidP="0019299F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Edits following </w:t>
            </w:r>
            <w:r w:rsidR="00C96736">
              <w:rPr>
                <w:rFonts w:ascii="Arial" w:hAnsi="Arial" w:cs="Arial"/>
              </w:rPr>
              <w:t>review of programme/</w:t>
            </w:r>
            <w:r w:rsidR="00797C7C">
              <w:rPr>
                <w:rFonts w:ascii="Arial" w:hAnsi="Arial" w:cs="Arial"/>
              </w:rPr>
              <w:t>module</w:t>
            </w:r>
            <w:r w:rsidR="00C96736">
              <w:rPr>
                <w:rFonts w:ascii="Arial" w:hAnsi="Arial" w:cs="Arial"/>
              </w:rPr>
              <w:t xml:space="preserve"> approval procedures</w:t>
            </w:r>
          </w:p>
        </w:tc>
      </w:tr>
      <w:tr w:rsidR="00AA525E" w:rsidRPr="00853D2A" w:rsidTr="008F0AED">
        <w:trPr>
          <w:trHeight w:val="397"/>
        </w:trPr>
        <w:tc>
          <w:tcPr>
            <w:tcW w:w="630" w:type="pct"/>
            <w:vAlign w:val="center"/>
          </w:tcPr>
          <w:p w:rsidR="00AA525E" w:rsidRPr="00805611" w:rsidRDefault="00FA2C88" w:rsidP="0019299F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028" w:type="pct"/>
            <w:vAlign w:val="center"/>
          </w:tcPr>
          <w:p w:rsidR="00AA525E" w:rsidRPr="00805611" w:rsidRDefault="00FA2C88" w:rsidP="0019299F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01/02/19</w:t>
            </w:r>
          </w:p>
        </w:tc>
        <w:tc>
          <w:tcPr>
            <w:tcW w:w="3342" w:type="pct"/>
            <w:vAlign w:val="center"/>
          </w:tcPr>
          <w:p w:rsidR="00AA525E" w:rsidRPr="00805611" w:rsidRDefault="00FA2C88" w:rsidP="0019299F">
            <w:pPr>
              <w:pStyle w:val="NoSpacing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Changed references to Director of Education to Dean of Education.</w:t>
            </w:r>
            <w:bookmarkStart w:id="13" w:name="_GoBack"/>
            <w:bookmarkEnd w:id="13"/>
          </w:p>
        </w:tc>
      </w:tr>
      <w:tr w:rsidR="00AA525E" w:rsidRPr="00853D2A" w:rsidTr="008F0AED">
        <w:trPr>
          <w:trHeight w:val="397"/>
        </w:trPr>
        <w:tc>
          <w:tcPr>
            <w:tcW w:w="630" w:type="pct"/>
            <w:vAlign w:val="center"/>
          </w:tcPr>
          <w:p w:rsidR="00AA525E" w:rsidRPr="00805611" w:rsidRDefault="00AA525E" w:rsidP="0019299F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28" w:type="pct"/>
            <w:vAlign w:val="center"/>
          </w:tcPr>
          <w:p w:rsidR="00AA525E" w:rsidRPr="00805611" w:rsidRDefault="00AA525E" w:rsidP="0019299F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42" w:type="pct"/>
            <w:vAlign w:val="center"/>
          </w:tcPr>
          <w:p w:rsidR="00AA525E" w:rsidRPr="00805611" w:rsidRDefault="00AA525E" w:rsidP="0019299F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</w:tbl>
    <w:p w:rsidR="004724E9" w:rsidRDefault="004724E9" w:rsidP="00E32AEF"/>
    <w:p w:rsidR="00EC0768" w:rsidRDefault="00EC0768" w:rsidP="00E32AEF"/>
    <w:sectPr w:rsidR="00EC0768" w:rsidSect="00132F50">
      <w:footerReference w:type="default" r:id="rId11"/>
      <w:pgSz w:w="11906" w:h="16838"/>
      <w:pgMar w:top="1418" w:right="1190" w:bottom="1188" w:left="1701" w:header="709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7B9" w:rsidRDefault="00F037B9" w:rsidP="00E21955">
      <w:pPr>
        <w:spacing w:after="0" w:line="240" w:lineRule="auto"/>
      </w:pPr>
      <w:r>
        <w:separator/>
      </w:r>
    </w:p>
  </w:endnote>
  <w:endnote w:type="continuationSeparator" w:id="0">
    <w:p w:rsidR="00F037B9" w:rsidRDefault="00F037B9" w:rsidP="00E2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Interstate Light">
    <w:altName w:val="Interstat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FB" w:rsidRDefault="00FA2C88" w:rsidP="00CA586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 w14:anchorId="1081DA26">
        <v:rect id="_x0000_i1026" style="width:0;height:1.5pt" o:hralign="center" o:hrstd="t" o:hr="t" fillcolor="#a0a0a0" stroked="f"/>
      </w:pict>
    </w:r>
  </w:p>
  <w:p w:rsidR="005709FB" w:rsidRPr="007E0F79" w:rsidRDefault="005030D6" w:rsidP="00CA586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Version: </w:t>
    </w:r>
    <w:r w:rsidR="003C2E1A">
      <w:rPr>
        <w:rFonts w:ascii="Arial" w:hAnsi="Arial" w:cs="Arial"/>
        <w:sz w:val="16"/>
        <w:szCs w:val="16"/>
      </w:rPr>
      <w:t>2.1</w:t>
    </w:r>
  </w:p>
  <w:p w:rsidR="005709FB" w:rsidRPr="007E0F79" w:rsidRDefault="005709FB" w:rsidP="00CA5861">
    <w:pPr>
      <w:pStyle w:val="Default"/>
      <w:rPr>
        <w:sz w:val="16"/>
        <w:szCs w:val="16"/>
      </w:rPr>
    </w:pPr>
    <w:r>
      <w:rPr>
        <w:sz w:val="16"/>
        <w:szCs w:val="16"/>
      </w:rPr>
      <w:t xml:space="preserve">Code of Practice on </w:t>
    </w:r>
    <w:r w:rsidR="00664532">
      <w:rPr>
        <w:sz w:val="16"/>
        <w:szCs w:val="16"/>
      </w:rPr>
      <w:t>the Design, Approval, Monitoring and Review of Taught Programmes</w:t>
    </w:r>
  </w:p>
  <w:p w:rsidR="005709FB" w:rsidRPr="00AC7F89" w:rsidRDefault="005030D6" w:rsidP="00BB7E56">
    <w:pPr>
      <w:pStyle w:val="Footer"/>
      <w:tabs>
        <w:tab w:val="clear" w:pos="4513"/>
        <w:tab w:val="center" w:pos="906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Date </w:t>
    </w:r>
    <w:r w:rsidR="00664532">
      <w:rPr>
        <w:rFonts w:ascii="Arial" w:hAnsi="Arial" w:cs="Arial"/>
        <w:color w:val="000000"/>
        <w:sz w:val="16"/>
        <w:szCs w:val="16"/>
      </w:rPr>
      <w:t xml:space="preserve">issued </w:t>
    </w:r>
    <w:r w:rsidR="005F1F3F">
      <w:rPr>
        <w:rFonts w:ascii="Arial" w:hAnsi="Arial" w:cs="Arial"/>
        <w:color w:val="000000"/>
        <w:sz w:val="16"/>
        <w:szCs w:val="16"/>
      </w:rPr>
      <w:t>0</w:t>
    </w:r>
    <w:r w:rsidR="003C2E1A">
      <w:rPr>
        <w:rFonts w:ascii="Arial" w:hAnsi="Arial" w:cs="Arial"/>
        <w:color w:val="000000"/>
        <w:sz w:val="16"/>
        <w:szCs w:val="16"/>
      </w:rPr>
      <w:t>1</w:t>
    </w:r>
    <w:r w:rsidR="005F1F3F">
      <w:rPr>
        <w:rFonts w:ascii="Arial" w:hAnsi="Arial" w:cs="Arial"/>
        <w:color w:val="000000"/>
        <w:sz w:val="16"/>
        <w:szCs w:val="16"/>
      </w:rPr>
      <w:t>.0</w:t>
    </w:r>
    <w:r w:rsidR="003C2E1A">
      <w:rPr>
        <w:rFonts w:ascii="Arial" w:hAnsi="Arial" w:cs="Arial"/>
        <w:color w:val="000000"/>
        <w:sz w:val="16"/>
        <w:szCs w:val="16"/>
      </w:rPr>
      <w:t>2</w:t>
    </w:r>
    <w:r w:rsidR="005F1F3F">
      <w:rPr>
        <w:rFonts w:ascii="Arial" w:hAnsi="Arial" w:cs="Arial"/>
        <w:color w:val="000000"/>
        <w:sz w:val="16"/>
        <w:szCs w:val="16"/>
      </w:rPr>
      <w:t>.</w:t>
    </w:r>
    <w:r w:rsidR="00664532">
      <w:rPr>
        <w:rFonts w:ascii="Arial" w:hAnsi="Arial" w:cs="Arial"/>
        <w:color w:val="000000"/>
        <w:sz w:val="16"/>
        <w:szCs w:val="16"/>
      </w:rPr>
      <w:t>1</w:t>
    </w:r>
    <w:r w:rsidR="003C2E1A">
      <w:rPr>
        <w:rFonts w:ascii="Arial" w:hAnsi="Arial" w:cs="Arial"/>
        <w:color w:val="000000"/>
        <w:sz w:val="16"/>
        <w:szCs w:val="16"/>
      </w:rPr>
      <w:t>9</w:t>
    </w:r>
    <w:r w:rsidR="005709FB">
      <w:rPr>
        <w:rFonts w:ascii="Arial" w:hAnsi="Arial" w:cs="Arial"/>
        <w:color w:val="000000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8401930"/>
        <w:docPartObj>
          <w:docPartGallery w:val="Page Numbers (Top of Page)"/>
          <w:docPartUnique/>
        </w:docPartObj>
      </w:sdtPr>
      <w:sdtEndPr/>
      <w:sdtContent>
        <w:r w:rsidR="005709FB" w:rsidRPr="007E0F79">
          <w:rPr>
            <w:rFonts w:ascii="Arial" w:hAnsi="Arial" w:cs="Arial"/>
            <w:sz w:val="16"/>
            <w:szCs w:val="16"/>
          </w:rPr>
          <w:t xml:space="preserve">Page </w:t>
        </w:r>
        <w:r w:rsidR="005709FB" w:rsidRPr="007E0F79">
          <w:rPr>
            <w:rFonts w:ascii="Arial" w:hAnsi="Arial" w:cs="Arial"/>
            <w:sz w:val="16"/>
            <w:szCs w:val="16"/>
          </w:rPr>
          <w:fldChar w:fldCharType="begin"/>
        </w:r>
        <w:r w:rsidR="005709FB" w:rsidRPr="007E0F79">
          <w:rPr>
            <w:rFonts w:ascii="Arial" w:hAnsi="Arial" w:cs="Arial"/>
            <w:sz w:val="16"/>
            <w:szCs w:val="16"/>
          </w:rPr>
          <w:instrText xml:space="preserve"> PAGE </w:instrText>
        </w:r>
        <w:r w:rsidR="005709FB" w:rsidRPr="007E0F79">
          <w:rPr>
            <w:rFonts w:ascii="Arial" w:hAnsi="Arial" w:cs="Arial"/>
            <w:sz w:val="16"/>
            <w:szCs w:val="16"/>
          </w:rPr>
          <w:fldChar w:fldCharType="separate"/>
        </w:r>
        <w:r w:rsidR="00F64112">
          <w:rPr>
            <w:rFonts w:ascii="Arial" w:hAnsi="Arial" w:cs="Arial"/>
            <w:noProof/>
            <w:sz w:val="16"/>
            <w:szCs w:val="16"/>
          </w:rPr>
          <w:t>11</w:t>
        </w:r>
        <w:r w:rsidR="005709FB" w:rsidRPr="007E0F79">
          <w:rPr>
            <w:rFonts w:ascii="Arial" w:hAnsi="Arial" w:cs="Arial"/>
            <w:sz w:val="16"/>
            <w:szCs w:val="16"/>
          </w:rPr>
          <w:fldChar w:fldCharType="end"/>
        </w:r>
        <w:r w:rsidR="005709FB" w:rsidRPr="007E0F79">
          <w:rPr>
            <w:rFonts w:ascii="Arial" w:hAnsi="Arial" w:cs="Arial"/>
            <w:sz w:val="16"/>
            <w:szCs w:val="16"/>
          </w:rPr>
          <w:t xml:space="preserve"> of </w:t>
        </w:r>
        <w:r w:rsidR="005709FB" w:rsidRPr="007E0F79">
          <w:rPr>
            <w:rFonts w:ascii="Arial" w:hAnsi="Arial" w:cs="Arial"/>
            <w:sz w:val="16"/>
            <w:szCs w:val="16"/>
          </w:rPr>
          <w:fldChar w:fldCharType="begin"/>
        </w:r>
        <w:r w:rsidR="005709FB" w:rsidRPr="007E0F79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5709FB" w:rsidRPr="007E0F79">
          <w:rPr>
            <w:rFonts w:ascii="Arial" w:hAnsi="Arial" w:cs="Arial"/>
            <w:sz w:val="16"/>
            <w:szCs w:val="16"/>
          </w:rPr>
          <w:fldChar w:fldCharType="separate"/>
        </w:r>
        <w:r w:rsidR="00F64112">
          <w:rPr>
            <w:rFonts w:ascii="Arial" w:hAnsi="Arial" w:cs="Arial"/>
            <w:noProof/>
            <w:sz w:val="16"/>
            <w:szCs w:val="16"/>
          </w:rPr>
          <w:t>11</w:t>
        </w:r>
        <w:r w:rsidR="005709FB" w:rsidRPr="007E0F79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7B9" w:rsidRDefault="00F037B9" w:rsidP="00E21955">
      <w:pPr>
        <w:spacing w:after="0" w:line="240" w:lineRule="auto"/>
      </w:pPr>
      <w:r>
        <w:separator/>
      </w:r>
    </w:p>
  </w:footnote>
  <w:footnote w:type="continuationSeparator" w:id="0">
    <w:p w:rsidR="00F037B9" w:rsidRDefault="00F037B9" w:rsidP="00E2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47CDA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04782"/>
    <w:multiLevelType w:val="hybridMultilevel"/>
    <w:tmpl w:val="2C6237E4"/>
    <w:lvl w:ilvl="0" w:tplc="AF5C09DE">
      <w:numFmt w:val="bullet"/>
      <w:pStyle w:val="CoPbullet"/>
      <w:lvlText w:val="•"/>
      <w:lvlJc w:val="left"/>
      <w:pPr>
        <w:ind w:left="4472" w:hanging="360"/>
      </w:pPr>
      <w:rPr>
        <w:rFonts w:ascii="Arial" w:eastAsia="Arial" w:hAnsi="Arial" w:hint="default"/>
        <w:color w:val="231F20"/>
        <w:w w:val="14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5FF5"/>
    <w:multiLevelType w:val="multilevel"/>
    <w:tmpl w:val="24A88F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BC302E1"/>
    <w:multiLevelType w:val="multilevel"/>
    <w:tmpl w:val="338ABFDC"/>
    <w:lvl w:ilvl="0">
      <w:start w:val="1"/>
      <w:numFmt w:val="decimal"/>
      <w:lvlText w:val="%1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3" w:hanging="567"/>
      </w:pPr>
      <w:rPr>
        <w:rFonts w:ascii="Arial" w:hAnsi="Arial" w:hint="default"/>
        <w:spacing w:val="0"/>
        <w:sz w:val="22"/>
      </w:rPr>
    </w:lvl>
    <w:lvl w:ilvl="2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3500FF"/>
    <w:multiLevelType w:val="multilevel"/>
    <w:tmpl w:val="62921776"/>
    <w:lvl w:ilvl="0">
      <w:start w:val="1"/>
      <w:numFmt w:val="decimal"/>
      <w:lvlText w:val="%1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3" w:hanging="567"/>
      </w:pPr>
      <w:rPr>
        <w:rFonts w:ascii="Arial" w:hAnsi="Arial" w:hint="default"/>
        <w:spacing w:val="0"/>
        <w:sz w:val="22"/>
      </w:rPr>
    </w:lvl>
    <w:lvl w:ilvl="2">
      <w:start w:val="1"/>
      <w:numFmt w:val="decimal"/>
      <w:pStyle w:val="Style2"/>
      <w:isLgl/>
      <w:lvlText w:val="%1.%2.%3"/>
      <w:lvlJc w:val="left"/>
      <w:pPr>
        <w:ind w:left="1418" w:hanging="851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41C8E"/>
    <w:multiLevelType w:val="hybridMultilevel"/>
    <w:tmpl w:val="AE54636A"/>
    <w:lvl w:ilvl="0" w:tplc="47423404">
      <w:start w:val="1"/>
      <w:numFmt w:val="decimal"/>
      <w:pStyle w:val="CoPHeading1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C48A6"/>
    <w:multiLevelType w:val="hybridMultilevel"/>
    <w:tmpl w:val="FAA2E03A"/>
    <w:lvl w:ilvl="0" w:tplc="9FEA8582">
      <w:numFmt w:val="bullet"/>
      <w:pStyle w:val="bullet1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C42A14"/>
    <w:multiLevelType w:val="multilevel"/>
    <w:tmpl w:val="338ABFDC"/>
    <w:lvl w:ilvl="0">
      <w:start w:val="1"/>
      <w:numFmt w:val="decimal"/>
      <w:lvlText w:val="%1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3" w:hanging="567"/>
      </w:pPr>
      <w:rPr>
        <w:rFonts w:ascii="Arial" w:hAnsi="Arial" w:hint="default"/>
        <w:spacing w:val="0"/>
        <w:sz w:val="22"/>
      </w:rPr>
    </w:lvl>
    <w:lvl w:ilvl="2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4119C4"/>
    <w:multiLevelType w:val="hybridMultilevel"/>
    <w:tmpl w:val="ED3A8244"/>
    <w:lvl w:ilvl="0" w:tplc="06740D60">
      <w:start w:val="1"/>
      <w:numFmt w:val="decimal"/>
      <w:pStyle w:val="HeadingListStyl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6536BD"/>
    <w:multiLevelType w:val="multilevel"/>
    <w:tmpl w:val="506A68D0"/>
    <w:lvl w:ilvl="0">
      <w:start w:val="1"/>
      <w:numFmt w:val="decimal"/>
      <w:lvlText w:val="%1"/>
      <w:lvlJc w:val="left"/>
      <w:pPr>
        <w:ind w:left="376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93" w:hanging="567"/>
      </w:pPr>
      <w:rPr>
        <w:rFonts w:ascii="Symbol" w:hAnsi="Symbol" w:hint="default"/>
        <w:spacing w:val="0"/>
        <w:sz w:val="22"/>
      </w:rPr>
    </w:lvl>
    <w:lvl w:ilvl="2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3"/>
  </w:num>
  <w:num w:numId="16">
    <w:abstractNumId w:val="7"/>
  </w:num>
  <w:num w:numId="17">
    <w:abstractNumId w:val="9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57"/>
  <w:drawingGridVerticalSpacing w:val="17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00C"/>
    <w:rsid w:val="00000EBB"/>
    <w:rsid w:val="000128F5"/>
    <w:rsid w:val="00015293"/>
    <w:rsid w:val="0001790B"/>
    <w:rsid w:val="00020977"/>
    <w:rsid w:val="00025E4F"/>
    <w:rsid w:val="0003007A"/>
    <w:rsid w:val="00034B7F"/>
    <w:rsid w:val="0003778A"/>
    <w:rsid w:val="00037914"/>
    <w:rsid w:val="000406D1"/>
    <w:rsid w:val="00044E88"/>
    <w:rsid w:val="00046C0A"/>
    <w:rsid w:val="000545AC"/>
    <w:rsid w:val="00054E1B"/>
    <w:rsid w:val="00063E00"/>
    <w:rsid w:val="00067625"/>
    <w:rsid w:val="000710ED"/>
    <w:rsid w:val="000727DB"/>
    <w:rsid w:val="00080E11"/>
    <w:rsid w:val="00083A2D"/>
    <w:rsid w:val="00084650"/>
    <w:rsid w:val="00094E0D"/>
    <w:rsid w:val="000964AF"/>
    <w:rsid w:val="00096C9D"/>
    <w:rsid w:val="00097C03"/>
    <w:rsid w:val="000A0963"/>
    <w:rsid w:val="000A3EC5"/>
    <w:rsid w:val="000B296D"/>
    <w:rsid w:val="000B2CB3"/>
    <w:rsid w:val="000C31EB"/>
    <w:rsid w:val="000C69C4"/>
    <w:rsid w:val="000D5CE3"/>
    <w:rsid w:val="000D7265"/>
    <w:rsid w:val="000E3D6D"/>
    <w:rsid w:val="000F25F7"/>
    <w:rsid w:val="000F6406"/>
    <w:rsid w:val="0010116B"/>
    <w:rsid w:val="001043B3"/>
    <w:rsid w:val="00107E75"/>
    <w:rsid w:val="00111CE8"/>
    <w:rsid w:val="00112248"/>
    <w:rsid w:val="00132F50"/>
    <w:rsid w:val="00141FBA"/>
    <w:rsid w:val="00143707"/>
    <w:rsid w:val="001445E5"/>
    <w:rsid w:val="001471C6"/>
    <w:rsid w:val="00151302"/>
    <w:rsid w:val="001536BF"/>
    <w:rsid w:val="00160D29"/>
    <w:rsid w:val="00162A7B"/>
    <w:rsid w:val="00167864"/>
    <w:rsid w:val="001759DA"/>
    <w:rsid w:val="00176069"/>
    <w:rsid w:val="00177BE0"/>
    <w:rsid w:val="00185096"/>
    <w:rsid w:val="00185C41"/>
    <w:rsid w:val="001959A3"/>
    <w:rsid w:val="00196210"/>
    <w:rsid w:val="001A046A"/>
    <w:rsid w:val="001A29B7"/>
    <w:rsid w:val="001B05D9"/>
    <w:rsid w:val="001B3D26"/>
    <w:rsid w:val="001B4B72"/>
    <w:rsid w:val="001B655C"/>
    <w:rsid w:val="001B65FA"/>
    <w:rsid w:val="001D5966"/>
    <w:rsid w:val="001E4C19"/>
    <w:rsid w:val="001E7FE3"/>
    <w:rsid w:val="001F1046"/>
    <w:rsid w:val="001F34CD"/>
    <w:rsid w:val="001F51A1"/>
    <w:rsid w:val="00200D8E"/>
    <w:rsid w:val="00201400"/>
    <w:rsid w:val="0020508F"/>
    <w:rsid w:val="00205BF2"/>
    <w:rsid w:val="00206308"/>
    <w:rsid w:val="002114C9"/>
    <w:rsid w:val="00212A09"/>
    <w:rsid w:val="002162FB"/>
    <w:rsid w:val="0022103B"/>
    <w:rsid w:val="002329AF"/>
    <w:rsid w:val="0023410E"/>
    <w:rsid w:val="0023588B"/>
    <w:rsid w:val="0023709C"/>
    <w:rsid w:val="00245544"/>
    <w:rsid w:val="00247EEC"/>
    <w:rsid w:val="00254AE6"/>
    <w:rsid w:val="002555C8"/>
    <w:rsid w:val="00260AA0"/>
    <w:rsid w:val="00266D34"/>
    <w:rsid w:val="00273A05"/>
    <w:rsid w:val="00274BFF"/>
    <w:rsid w:val="00276B97"/>
    <w:rsid w:val="002842CB"/>
    <w:rsid w:val="00285202"/>
    <w:rsid w:val="00290F5C"/>
    <w:rsid w:val="00292A44"/>
    <w:rsid w:val="00296C4A"/>
    <w:rsid w:val="002A1EA4"/>
    <w:rsid w:val="002A2C51"/>
    <w:rsid w:val="002A4652"/>
    <w:rsid w:val="002A6A6E"/>
    <w:rsid w:val="002A795E"/>
    <w:rsid w:val="002B0F12"/>
    <w:rsid w:val="002B160C"/>
    <w:rsid w:val="002B61B6"/>
    <w:rsid w:val="002B64D3"/>
    <w:rsid w:val="002C2D7F"/>
    <w:rsid w:val="002C7E71"/>
    <w:rsid w:val="002D059F"/>
    <w:rsid w:val="002D3179"/>
    <w:rsid w:val="002E0A53"/>
    <w:rsid w:val="002E5C2F"/>
    <w:rsid w:val="002E6B50"/>
    <w:rsid w:val="002F3521"/>
    <w:rsid w:val="002F663B"/>
    <w:rsid w:val="002F73D7"/>
    <w:rsid w:val="0030750C"/>
    <w:rsid w:val="00314FED"/>
    <w:rsid w:val="00315094"/>
    <w:rsid w:val="0032454A"/>
    <w:rsid w:val="0033564F"/>
    <w:rsid w:val="00337761"/>
    <w:rsid w:val="00340EE0"/>
    <w:rsid w:val="003433C0"/>
    <w:rsid w:val="003451D3"/>
    <w:rsid w:val="003473AA"/>
    <w:rsid w:val="00347D48"/>
    <w:rsid w:val="0035302D"/>
    <w:rsid w:val="003533D7"/>
    <w:rsid w:val="003608E2"/>
    <w:rsid w:val="00362622"/>
    <w:rsid w:val="00374E89"/>
    <w:rsid w:val="003773EF"/>
    <w:rsid w:val="00380E6A"/>
    <w:rsid w:val="00384F14"/>
    <w:rsid w:val="00396ECB"/>
    <w:rsid w:val="00397BDB"/>
    <w:rsid w:val="00397F6D"/>
    <w:rsid w:val="003C05BC"/>
    <w:rsid w:val="003C2E1A"/>
    <w:rsid w:val="003C3FAE"/>
    <w:rsid w:val="003C5E2D"/>
    <w:rsid w:val="003D0A4A"/>
    <w:rsid w:val="003D5EAD"/>
    <w:rsid w:val="003D7455"/>
    <w:rsid w:val="003E328F"/>
    <w:rsid w:val="003E5663"/>
    <w:rsid w:val="003F23DD"/>
    <w:rsid w:val="00405F0E"/>
    <w:rsid w:val="00417046"/>
    <w:rsid w:val="0042383C"/>
    <w:rsid w:val="00424580"/>
    <w:rsid w:val="004250EE"/>
    <w:rsid w:val="0042595F"/>
    <w:rsid w:val="00432753"/>
    <w:rsid w:val="0043689E"/>
    <w:rsid w:val="004371F7"/>
    <w:rsid w:val="00441160"/>
    <w:rsid w:val="00451734"/>
    <w:rsid w:val="00454A94"/>
    <w:rsid w:val="004578E1"/>
    <w:rsid w:val="004611AF"/>
    <w:rsid w:val="00466B68"/>
    <w:rsid w:val="004724E9"/>
    <w:rsid w:val="00473AF0"/>
    <w:rsid w:val="00473DBD"/>
    <w:rsid w:val="00473F1F"/>
    <w:rsid w:val="00481740"/>
    <w:rsid w:val="00482AF1"/>
    <w:rsid w:val="00482D75"/>
    <w:rsid w:val="004846A7"/>
    <w:rsid w:val="00487BBA"/>
    <w:rsid w:val="00490BB8"/>
    <w:rsid w:val="004917DA"/>
    <w:rsid w:val="004A5F5E"/>
    <w:rsid w:val="004A6EE4"/>
    <w:rsid w:val="004B3DED"/>
    <w:rsid w:val="004B458E"/>
    <w:rsid w:val="004B5C73"/>
    <w:rsid w:val="004B602A"/>
    <w:rsid w:val="004B6C34"/>
    <w:rsid w:val="004D0A9E"/>
    <w:rsid w:val="004D7016"/>
    <w:rsid w:val="004E42D6"/>
    <w:rsid w:val="004E5013"/>
    <w:rsid w:val="005030D6"/>
    <w:rsid w:val="005121B5"/>
    <w:rsid w:val="00521FC0"/>
    <w:rsid w:val="005222AF"/>
    <w:rsid w:val="00524EB3"/>
    <w:rsid w:val="0054006A"/>
    <w:rsid w:val="00546972"/>
    <w:rsid w:val="00546F3C"/>
    <w:rsid w:val="00554BAB"/>
    <w:rsid w:val="00555762"/>
    <w:rsid w:val="0055578F"/>
    <w:rsid w:val="005575D9"/>
    <w:rsid w:val="00560E9E"/>
    <w:rsid w:val="00564B29"/>
    <w:rsid w:val="00566FB6"/>
    <w:rsid w:val="005709FB"/>
    <w:rsid w:val="00570FCF"/>
    <w:rsid w:val="00572ABC"/>
    <w:rsid w:val="00573245"/>
    <w:rsid w:val="00573C82"/>
    <w:rsid w:val="0057702A"/>
    <w:rsid w:val="005A0BC7"/>
    <w:rsid w:val="005A0E8C"/>
    <w:rsid w:val="005A6ECD"/>
    <w:rsid w:val="005A78EE"/>
    <w:rsid w:val="005B12E8"/>
    <w:rsid w:val="005B5A21"/>
    <w:rsid w:val="005B61DE"/>
    <w:rsid w:val="005C7B3B"/>
    <w:rsid w:val="005E0570"/>
    <w:rsid w:val="005E097C"/>
    <w:rsid w:val="005E20A1"/>
    <w:rsid w:val="005E2D97"/>
    <w:rsid w:val="005E6CE6"/>
    <w:rsid w:val="005E709A"/>
    <w:rsid w:val="005E7A45"/>
    <w:rsid w:val="005F171B"/>
    <w:rsid w:val="005F1F3F"/>
    <w:rsid w:val="006113B5"/>
    <w:rsid w:val="00611736"/>
    <w:rsid w:val="00611803"/>
    <w:rsid w:val="00613A52"/>
    <w:rsid w:val="00617A77"/>
    <w:rsid w:val="006220C3"/>
    <w:rsid w:val="00627DB8"/>
    <w:rsid w:val="00631080"/>
    <w:rsid w:val="00632E5F"/>
    <w:rsid w:val="00633DC0"/>
    <w:rsid w:val="006361EB"/>
    <w:rsid w:val="00642E7A"/>
    <w:rsid w:val="006462DF"/>
    <w:rsid w:val="00660920"/>
    <w:rsid w:val="0066239E"/>
    <w:rsid w:val="00662AC8"/>
    <w:rsid w:val="00662BFE"/>
    <w:rsid w:val="00663CE6"/>
    <w:rsid w:val="00664532"/>
    <w:rsid w:val="00670676"/>
    <w:rsid w:val="006707CC"/>
    <w:rsid w:val="006752F4"/>
    <w:rsid w:val="00685809"/>
    <w:rsid w:val="00692B99"/>
    <w:rsid w:val="006A11F8"/>
    <w:rsid w:val="006A7905"/>
    <w:rsid w:val="006B29D8"/>
    <w:rsid w:val="006B5ABD"/>
    <w:rsid w:val="006D38E2"/>
    <w:rsid w:val="006D3DD5"/>
    <w:rsid w:val="006E0FF0"/>
    <w:rsid w:val="006E23DD"/>
    <w:rsid w:val="006E6266"/>
    <w:rsid w:val="006F16BD"/>
    <w:rsid w:val="006F38C7"/>
    <w:rsid w:val="006F7DC9"/>
    <w:rsid w:val="0070034C"/>
    <w:rsid w:val="00702214"/>
    <w:rsid w:val="0070301E"/>
    <w:rsid w:val="0070559B"/>
    <w:rsid w:val="00716F0E"/>
    <w:rsid w:val="00717B62"/>
    <w:rsid w:val="00724BBC"/>
    <w:rsid w:val="0072606F"/>
    <w:rsid w:val="007306DA"/>
    <w:rsid w:val="00730D7F"/>
    <w:rsid w:val="0073253B"/>
    <w:rsid w:val="007412E2"/>
    <w:rsid w:val="00744263"/>
    <w:rsid w:val="00744444"/>
    <w:rsid w:val="00752CEA"/>
    <w:rsid w:val="00753103"/>
    <w:rsid w:val="007569D7"/>
    <w:rsid w:val="007734E5"/>
    <w:rsid w:val="007826FE"/>
    <w:rsid w:val="007876BC"/>
    <w:rsid w:val="0079322A"/>
    <w:rsid w:val="00797C7C"/>
    <w:rsid w:val="007A1B5C"/>
    <w:rsid w:val="007A30E4"/>
    <w:rsid w:val="007A7078"/>
    <w:rsid w:val="007B17EF"/>
    <w:rsid w:val="007B60F0"/>
    <w:rsid w:val="007C2D0F"/>
    <w:rsid w:val="007D067D"/>
    <w:rsid w:val="007E21FE"/>
    <w:rsid w:val="007E31E1"/>
    <w:rsid w:val="007E42C9"/>
    <w:rsid w:val="007E7F9B"/>
    <w:rsid w:val="00804443"/>
    <w:rsid w:val="008044CD"/>
    <w:rsid w:val="00811097"/>
    <w:rsid w:val="00812C8D"/>
    <w:rsid w:val="00815CD2"/>
    <w:rsid w:val="00827EBD"/>
    <w:rsid w:val="00830281"/>
    <w:rsid w:val="008313BA"/>
    <w:rsid w:val="00831F52"/>
    <w:rsid w:val="00837BF5"/>
    <w:rsid w:val="008442A6"/>
    <w:rsid w:val="00846190"/>
    <w:rsid w:val="00846FB2"/>
    <w:rsid w:val="0084788E"/>
    <w:rsid w:val="00852819"/>
    <w:rsid w:val="00853D2A"/>
    <w:rsid w:val="0085496A"/>
    <w:rsid w:val="008630EF"/>
    <w:rsid w:val="008664C3"/>
    <w:rsid w:val="008735F7"/>
    <w:rsid w:val="00876075"/>
    <w:rsid w:val="00892EC1"/>
    <w:rsid w:val="0089451A"/>
    <w:rsid w:val="008A1BBE"/>
    <w:rsid w:val="008A4EEB"/>
    <w:rsid w:val="008A7588"/>
    <w:rsid w:val="008B2E49"/>
    <w:rsid w:val="008B6611"/>
    <w:rsid w:val="008B6800"/>
    <w:rsid w:val="008B6CFC"/>
    <w:rsid w:val="008D6F84"/>
    <w:rsid w:val="008E3E61"/>
    <w:rsid w:val="008F0AED"/>
    <w:rsid w:val="008F6960"/>
    <w:rsid w:val="008F77DC"/>
    <w:rsid w:val="0090084A"/>
    <w:rsid w:val="009032A2"/>
    <w:rsid w:val="0090725D"/>
    <w:rsid w:val="00915038"/>
    <w:rsid w:val="00920550"/>
    <w:rsid w:val="00924581"/>
    <w:rsid w:val="0092740C"/>
    <w:rsid w:val="00927617"/>
    <w:rsid w:val="00932BFD"/>
    <w:rsid w:val="009350D4"/>
    <w:rsid w:val="00940758"/>
    <w:rsid w:val="00963022"/>
    <w:rsid w:val="00966547"/>
    <w:rsid w:val="00974334"/>
    <w:rsid w:val="00981629"/>
    <w:rsid w:val="0098423E"/>
    <w:rsid w:val="00986142"/>
    <w:rsid w:val="00986857"/>
    <w:rsid w:val="009873CE"/>
    <w:rsid w:val="0099600C"/>
    <w:rsid w:val="00996480"/>
    <w:rsid w:val="009A72D8"/>
    <w:rsid w:val="009B10B3"/>
    <w:rsid w:val="009B1309"/>
    <w:rsid w:val="009B4F3D"/>
    <w:rsid w:val="009B5469"/>
    <w:rsid w:val="009B62E2"/>
    <w:rsid w:val="009D0309"/>
    <w:rsid w:val="009D1568"/>
    <w:rsid w:val="009D2E67"/>
    <w:rsid w:val="009D72B1"/>
    <w:rsid w:val="009E4D81"/>
    <w:rsid w:val="009E7DB5"/>
    <w:rsid w:val="009F1536"/>
    <w:rsid w:val="009F24BF"/>
    <w:rsid w:val="00A03881"/>
    <w:rsid w:val="00A04D16"/>
    <w:rsid w:val="00A123C5"/>
    <w:rsid w:val="00A17FD8"/>
    <w:rsid w:val="00A2167C"/>
    <w:rsid w:val="00A21773"/>
    <w:rsid w:val="00A3548D"/>
    <w:rsid w:val="00A43CC8"/>
    <w:rsid w:val="00A456D2"/>
    <w:rsid w:val="00A503FF"/>
    <w:rsid w:val="00A509FC"/>
    <w:rsid w:val="00A54F6D"/>
    <w:rsid w:val="00A60B93"/>
    <w:rsid w:val="00A62078"/>
    <w:rsid w:val="00A62E1D"/>
    <w:rsid w:val="00A708BF"/>
    <w:rsid w:val="00A7142E"/>
    <w:rsid w:val="00A7754F"/>
    <w:rsid w:val="00A84A7F"/>
    <w:rsid w:val="00A85A11"/>
    <w:rsid w:val="00A85B07"/>
    <w:rsid w:val="00A91F8A"/>
    <w:rsid w:val="00A93755"/>
    <w:rsid w:val="00A9402C"/>
    <w:rsid w:val="00A96C21"/>
    <w:rsid w:val="00A97358"/>
    <w:rsid w:val="00A977FD"/>
    <w:rsid w:val="00A97BF3"/>
    <w:rsid w:val="00AA20E6"/>
    <w:rsid w:val="00AA525E"/>
    <w:rsid w:val="00AA71CF"/>
    <w:rsid w:val="00AB7772"/>
    <w:rsid w:val="00AC575C"/>
    <w:rsid w:val="00AD0B66"/>
    <w:rsid w:val="00AD446E"/>
    <w:rsid w:val="00AD5BB5"/>
    <w:rsid w:val="00AE4F1A"/>
    <w:rsid w:val="00AE7468"/>
    <w:rsid w:val="00AF2615"/>
    <w:rsid w:val="00AF564A"/>
    <w:rsid w:val="00B0031A"/>
    <w:rsid w:val="00B0206E"/>
    <w:rsid w:val="00B04437"/>
    <w:rsid w:val="00B16FFE"/>
    <w:rsid w:val="00B17C8A"/>
    <w:rsid w:val="00B203E3"/>
    <w:rsid w:val="00B2434D"/>
    <w:rsid w:val="00B313B4"/>
    <w:rsid w:val="00B34036"/>
    <w:rsid w:val="00B34628"/>
    <w:rsid w:val="00B3648D"/>
    <w:rsid w:val="00B368F1"/>
    <w:rsid w:val="00B40724"/>
    <w:rsid w:val="00B40D8F"/>
    <w:rsid w:val="00B438A5"/>
    <w:rsid w:val="00B535B4"/>
    <w:rsid w:val="00B54D9C"/>
    <w:rsid w:val="00B5723C"/>
    <w:rsid w:val="00B57D72"/>
    <w:rsid w:val="00B64694"/>
    <w:rsid w:val="00B71C34"/>
    <w:rsid w:val="00B81A46"/>
    <w:rsid w:val="00B834F0"/>
    <w:rsid w:val="00B901B7"/>
    <w:rsid w:val="00B90EDE"/>
    <w:rsid w:val="00B93797"/>
    <w:rsid w:val="00BB128A"/>
    <w:rsid w:val="00BB2003"/>
    <w:rsid w:val="00BB3562"/>
    <w:rsid w:val="00BB5CDE"/>
    <w:rsid w:val="00BB7E56"/>
    <w:rsid w:val="00BC4E98"/>
    <w:rsid w:val="00BE79EA"/>
    <w:rsid w:val="00BF0675"/>
    <w:rsid w:val="00BF1752"/>
    <w:rsid w:val="00BF1951"/>
    <w:rsid w:val="00BF5025"/>
    <w:rsid w:val="00C0017B"/>
    <w:rsid w:val="00C001F3"/>
    <w:rsid w:val="00C016B8"/>
    <w:rsid w:val="00C02737"/>
    <w:rsid w:val="00C040BE"/>
    <w:rsid w:val="00C06A5D"/>
    <w:rsid w:val="00C11613"/>
    <w:rsid w:val="00C1196F"/>
    <w:rsid w:val="00C14E8B"/>
    <w:rsid w:val="00C27A39"/>
    <w:rsid w:val="00C34DDB"/>
    <w:rsid w:val="00C356B9"/>
    <w:rsid w:val="00C46084"/>
    <w:rsid w:val="00C52D98"/>
    <w:rsid w:val="00C60038"/>
    <w:rsid w:val="00C604A8"/>
    <w:rsid w:val="00C616E1"/>
    <w:rsid w:val="00C64B92"/>
    <w:rsid w:val="00C659A9"/>
    <w:rsid w:val="00C7558A"/>
    <w:rsid w:val="00C8024F"/>
    <w:rsid w:val="00C80E8D"/>
    <w:rsid w:val="00C828AE"/>
    <w:rsid w:val="00C85A3A"/>
    <w:rsid w:val="00C91E32"/>
    <w:rsid w:val="00C922ED"/>
    <w:rsid w:val="00C934D2"/>
    <w:rsid w:val="00C935D4"/>
    <w:rsid w:val="00C93EFD"/>
    <w:rsid w:val="00C96736"/>
    <w:rsid w:val="00CA2CD7"/>
    <w:rsid w:val="00CA33D3"/>
    <w:rsid w:val="00CA5383"/>
    <w:rsid w:val="00CA5861"/>
    <w:rsid w:val="00CB34C8"/>
    <w:rsid w:val="00CC11C6"/>
    <w:rsid w:val="00CC5EF9"/>
    <w:rsid w:val="00CC6DB2"/>
    <w:rsid w:val="00CD022B"/>
    <w:rsid w:val="00CE2D91"/>
    <w:rsid w:val="00CE52A5"/>
    <w:rsid w:val="00CF3947"/>
    <w:rsid w:val="00CF733D"/>
    <w:rsid w:val="00D02959"/>
    <w:rsid w:val="00D03C73"/>
    <w:rsid w:val="00D04468"/>
    <w:rsid w:val="00D23717"/>
    <w:rsid w:val="00D3300C"/>
    <w:rsid w:val="00D35BAE"/>
    <w:rsid w:val="00D4060F"/>
    <w:rsid w:val="00D47BFE"/>
    <w:rsid w:val="00D50493"/>
    <w:rsid w:val="00D55889"/>
    <w:rsid w:val="00D6697B"/>
    <w:rsid w:val="00D6697F"/>
    <w:rsid w:val="00D806D7"/>
    <w:rsid w:val="00D80CCF"/>
    <w:rsid w:val="00D80D08"/>
    <w:rsid w:val="00D8570B"/>
    <w:rsid w:val="00D86226"/>
    <w:rsid w:val="00D90E42"/>
    <w:rsid w:val="00D91429"/>
    <w:rsid w:val="00D93FB2"/>
    <w:rsid w:val="00DA34D4"/>
    <w:rsid w:val="00DA60AE"/>
    <w:rsid w:val="00DB06B6"/>
    <w:rsid w:val="00DB0EE7"/>
    <w:rsid w:val="00DB7C66"/>
    <w:rsid w:val="00DC2D71"/>
    <w:rsid w:val="00DC57E4"/>
    <w:rsid w:val="00DC5F0B"/>
    <w:rsid w:val="00DD2A57"/>
    <w:rsid w:val="00DD4890"/>
    <w:rsid w:val="00DE1BD1"/>
    <w:rsid w:val="00DE2B7E"/>
    <w:rsid w:val="00DE3B53"/>
    <w:rsid w:val="00DE631F"/>
    <w:rsid w:val="00DF0C7F"/>
    <w:rsid w:val="00DF6889"/>
    <w:rsid w:val="00E02DF0"/>
    <w:rsid w:val="00E03F1F"/>
    <w:rsid w:val="00E06115"/>
    <w:rsid w:val="00E061A5"/>
    <w:rsid w:val="00E12A3A"/>
    <w:rsid w:val="00E16DC4"/>
    <w:rsid w:val="00E177AE"/>
    <w:rsid w:val="00E2122A"/>
    <w:rsid w:val="00E21955"/>
    <w:rsid w:val="00E24796"/>
    <w:rsid w:val="00E2635D"/>
    <w:rsid w:val="00E32AEF"/>
    <w:rsid w:val="00E43063"/>
    <w:rsid w:val="00E434E9"/>
    <w:rsid w:val="00E43E6B"/>
    <w:rsid w:val="00E5273B"/>
    <w:rsid w:val="00E565B9"/>
    <w:rsid w:val="00E61E3F"/>
    <w:rsid w:val="00E74495"/>
    <w:rsid w:val="00E74DF9"/>
    <w:rsid w:val="00E75F5D"/>
    <w:rsid w:val="00E76DF9"/>
    <w:rsid w:val="00E84CDC"/>
    <w:rsid w:val="00E84EE2"/>
    <w:rsid w:val="00E92B0F"/>
    <w:rsid w:val="00EA2D13"/>
    <w:rsid w:val="00EA6BBC"/>
    <w:rsid w:val="00EB19C8"/>
    <w:rsid w:val="00EB2146"/>
    <w:rsid w:val="00EB29DA"/>
    <w:rsid w:val="00EC008C"/>
    <w:rsid w:val="00EC0768"/>
    <w:rsid w:val="00EC2C7C"/>
    <w:rsid w:val="00ED1585"/>
    <w:rsid w:val="00ED4A4C"/>
    <w:rsid w:val="00ED4A53"/>
    <w:rsid w:val="00F037B9"/>
    <w:rsid w:val="00F05987"/>
    <w:rsid w:val="00F05AAE"/>
    <w:rsid w:val="00F13154"/>
    <w:rsid w:val="00F178B4"/>
    <w:rsid w:val="00F2189C"/>
    <w:rsid w:val="00F226BB"/>
    <w:rsid w:val="00F22E6A"/>
    <w:rsid w:val="00F2594E"/>
    <w:rsid w:val="00F26CEE"/>
    <w:rsid w:val="00F30E62"/>
    <w:rsid w:val="00F357D4"/>
    <w:rsid w:val="00F51CBA"/>
    <w:rsid w:val="00F55604"/>
    <w:rsid w:val="00F558E3"/>
    <w:rsid w:val="00F62F3D"/>
    <w:rsid w:val="00F64112"/>
    <w:rsid w:val="00F70E21"/>
    <w:rsid w:val="00F71102"/>
    <w:rsid w:val="00F72C41"/>
    <w:rsid w:val="00F73068"/>
    <w:rsid w:val="00F74F16"/>
    <w:rsid w:val="00F76132"/>
    <w:rsid w:val="00F76821"/>
    <w:rsid w:val="00F82782"/>
    <w:rsid w:val="00F830C8"/>
    <w:rsid w:val="00F8488A"/>
    <w:rsid w:val="00F93752"/>
    <w:rsid w:val="00FA091E"/>
    <w:rsid w:val="00FA2C88"/>
    <w:rsid w:val="00FA337C"/>
    <w:rsid w:val="00FA77A8"/>
    <w:rsid w:val="00FB0EA3"/>
    <w:rsid w:val="00FC1E88"/>
    <w:rsid w:val="00FC224A"/>
    <w:rsid w:val="00FC2D84"/>
    <w:rsid w:val="00FC4F3D"/>
    <w:rsid w:val="00FC5ABB"/>
    <w:rsid w:val="00FD1B1A"/>
    <w:rsid w:val="00FD2E71"/>
    <w:rsid w:val="00FD7516"/>
    <w:rsid w:val="00FE0A5B"/>
    <w:rsid w:val="00FE580B"/>
    <w:rsid w:val="00FF116C"/>
    <w:rsid w:val="00FF1CE7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0BEE1714"/>
  <w15:docId w15:val="{291AFCD9-8355-475F-9072-16C1A7E8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F8A"/>
  </w:style>
  <w:style w:type="paragraph" w:styleId="Heading1">
    <w:name w:val="heading 1"/>
    <w:basedOn w:val="Normal"/>
    <w:next w:val="Normal"/>
    <w:link w:val="Heading1Char"/>
    <w:uiPriority w:val="9"/>
    <w:qFormat/>
    <w:rsid w:val="009665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6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65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A5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D4A53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D4A53"/>
    <w:pPr>
      <w:ind w:left="720"/>
      <w:contextualSpacing/>
    </w:pPr>
  </w:style>
  <w:style w:type="paragraph" w:customStyle="1" w:styleId="Default">
    <w:name w:val="Default"/>
    <w:rsid w:val="00ED4A5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D4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A53"/>
    <w:rPr>
      <w:rFonts w:eastAsiaTheme="minorHAnsi"/>
      <w:lang w:eastAsia="en-US"/>
    </w:rPr>
  </w:style>
  <w:style w:type="paragraph" w:styleId="Footer">
    <w:name w:val="footer"/>
    <w:basedOn w:val="Normal"/>
    <w:link w:val="FooterChar"/>
    <w:unhideWhenUsed/>
    <w:rsid w:val="00ED4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D4A53"/>
    <w:rPr>
      <w:rFonts w:eastAsiaTheme="minorHAns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4A53"/>
    <w:rPr>
      <w:rFonts w:eastAsiaTheme="minorHAnsi"/>
      <w:lang w:eastAsia="en-US"/>
    </w:rPr>
  </w:style>
  <w:style w:type="paragraph" w:styleId="TOC1">
    <w:name w:val="toc 1"/>
    <w:basedOn w:val="CoPborderheading"/>
    <w:next w:val="Normal"/>
    <w:autoRedefine/>
    <w:uiPriority w:val="39"/>
    <w:unhideWhenUsed/>
    <w:rsid w:val="005B61DE"/>
    <w:pPr>
      <w:pBdr>
        <w:top w:val="none" w:sz="0" w:space="0" w:color="auto"/>
        <w:bottom w:val="none" w:sz="0" w:space="0" w:color="auto"/>
      </w:pBdr>
      <w:tabs>
        <w:tab w:val="left" w:pos="284"/>
        <w:tab w:val="left" w:pos="1276"/>
        <w:tab w:val="right" w:pos="9005"/>
      </w:tabs>
      <w:autoSpaceDE/>
      <w:autoSpaceDN/>
      <w:adjustRightInd/>
      <w:spacing w:before="240" w:after="240" w:line="276" w:lineRule="auto"/>
      <w:ind w:left="284"/>
      <w:jc w:val="left"/>
    </w:pPr>
    <w:rPr>
      <w:rFonts w:ascii="Arial" w:hAnsi="Arial"/>
      <w:noProof/>
      <w:color w:val="auto"/>
      <w:szCs w:val="24"/>
    </w:rPr>
  </w:style>
  <w:style w:type="paragraph" w:customStyle="1" w:styleId="HeadingListStyle">
    <w:name w:val="Heading List Style"/>
    <w:basedOn w:val="ListParagraph"/>
    <w:qFormat/>
    <w:rsid w:val="00ED4A53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customStyle="1" w:styleId="CoPHeading1">
    <w:name w:val="CoP Heading 1"/>
    <w:basedOn w:val="ListParagraph"/>
    <w:rsid w:val="00ED4A53"/>
    <w:pPr>
      <w:keepNext/>
      <w:numPr>
        <w:numId w:val="2"/>
      </w:numPr>
      <w:spacing w:before="360" w:after="40" w:line="240" w:lineRule="auto"/>
      <w:ind w:left="570" w:hanging="570"/>
      <w:contextualSpacing w:val="0"/>
    </w:pPr>
    <w:rPr>
      <w:rFonts w:ascii="Arial" w:hAnsi="Arial" w:cs="Arial"/>
      <w:b/>
      <w:color w:val="943634" w:themeColor="accent2" w:themeShade="BF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1760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5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Pborderheading">
    <w:name w:val="CoP border heading"/>
    <w:basedOn w:val="Normal"/>
    <w:autoRedefine/>
    <w:qFormat/>
    <w:rsid w:val="00A21773"/>
    <w:pPr>
      <w:widowControl w:val="0"/>
      <w:pBdr>
        <w:top w:val="single" w:sz="4" w:space="9" w:color="943634" w:themeColor="accent2" w:themeShade="BF"/>
        <w:bottom w:val="single" w:sz="4" w:space="9" w:color="943634" w:themeColor="accent2" w:themeShade="BF"/>
      </w:pBdr>
      <w:autoSpaceDE w:val="0"/>
      <w:autoSpaceDN w:val="0"/>
      <w:adjustRightInd w:val="0"/>
      <w:spacing w:before="600" w:after="0" w:line="240" w:lineRule="auto"/>
      <w:ind w:left="567" w:hanging="567"/>
      <w:jc w:val="both"/>
    </w:pPr>
    <w:rPr>
      <w:rFonts w:ascii="Arial Bold" w:hAnsi="Arial Bold" w:cs="Arial"/>
      <w:b/>
      <w:bCs/>
      <w:color w:val="943634" w:themeColor="accent2" w:themeShade="BF"/>
      <w:sz w:val="24"/>
      <w:szCs w:val="28"/>
    </w:rPr>
  </w:style>
  <w:style w:type="paragraph" w:customStyle="1" w:styleId="CoPv2Heading">
    <w:name w:val="CoP v2 Heading"/>
    <w:basedOn w:val="Normal"/>
    <w:autoRedefine/>
    <w:qFormat/>
    <w:rsid w:val="00ED4A4C"/>
    <w:pPr>
      <w:keepNext/>
      <w:pBdr>
        <w:top w:val="single" w:sz="4" w:space="6" w:color="943634" w:themeColor="accent2" w:themeShade="BF"/>
        <w:bottom w:val="single" w:sz="4" w:space="6" w:color="943634" w:themeColor="accent2" w:themeShade="BF"/>
      </w:pBdr>
      <w:spacing w:before="360" w:after="240" w:line="240" w:lineRule="auto"/>
      <w:ind w:left="573" w:hanging="573"/>
    </w:pPr>
    <w:rPr>
      <w:rFonts w:ascii="Arial Bold" w:hAnsi="Arial Bold" w:cs="Arial"/>
      <w:b/>
      <w:color w:val="943634" w:themeColor="accent2" w:themeShade="BF"/>
      <w:szCs w:val="24"/>
      <w:lang w:eastAsia="zh-CN"/>
    </w:rPr>
  </w:style>
  <w:style w:type="paragraph" w:customStyle="1" w:styleId="CoPbodytext">
    <w:name w:val="CoP body text"/>
    <w:basedOn w:val="Normal"/>
    <w:qFormat/>
    <w:rsid w:val="00D23717"/>
    <w:pPr>
      <w:autoSpaceDE w:val="0"/>
      <w:autoSpaceDN w:val="0"/>
      <w:adjustRightInd w:val="0"/>
      <w:spacing w:before="240" w:after="240"/>
      <w:jc w:val="both"/>
    </w:pPr>
    <w:rPr>
      <w:rFonts w:ascii="Arial" w:eastAsia="Times New Roman" w:hAnsi="Arial" w:cs="Arial"/>
      <w:color w:val="000000"/>
    </w:rPr>
  </w:style>
  <w:style w:type="paragraph" w:customStyle="1" w:styleId="CoPbullet">
    <w:name w:val="CoP bullet"/>
    <w:basedOn w:val="ListBullet"/>
    <w:link w:val="CoPbulletChar"/>
    <w:qFormat/>
    <w:rsid w:val="00DC57E4"/>
    <w:pPr>
      <w:numPr>
        <w:numId w:val="5"/>
      </w:numPr>
      <w:autoSpaceDE w:val="0"/>
      <w:autoSpaceDN w:val="0"/>
      <w:adjustRightInd w:val="0"/>
      <w:spacing w:before="120" w:after="120" w:line="240" w:lineRule="auto"/>
      <w:ind w:right="346"/>
      <w:contextualSpacing w:val="0"/>
      <w:jc w:val="both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9665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6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654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CoPSubHead">
    <w:name w:val="CoP SubHead"/>
    <w:basedOn w:val="CoPbullet"/>
    <w:link w:val="CoPSubHeadChar"/>
    <w:rsid w:val="00DC57E4"/>
    <w:pPr>
      <w:numPr>
        <w:numId w:val="0"/>
      </w:numPr>
      <w:spacing w:before="360"/>
    </w:pPr>
    <w:rPr>
      <w:b/>
      <w:color w:val="943634" w:themeColor="accent2" w:themeShade="BF"/>
    </w:rPr>
  </w:style>
  <w:style w:type="paragraph" w:styleId="TOC2">
    <w:name w:val="toc 2"/>
    <w:basedOn w:val="Style1"/>
    <w:next w:val="Normal"/>
    <w:autoRedefine/>
    <w:uiPriority w:val="39"/>
    <w:unhideWhenUsed/>
    <w:rsid w:val="007E7F9B"/>
    <w:pPr>
      <w:tabs>
        <w:tab w:val="right" w:pos="9005"/>
      </w:tabs>
      <w:spacing w:before="120" w:after="120"/>
      <w:ind w:left="426"/>
      <w:contextualSpacing w:val="0"/>
    </w:pPr>
    <w:rPr>
      <w:rFonts w:asciiTheme="minorHAnsi" w:hAnsiTheme="minorHAnsi" w:cstheme="minorBidi"/>
      <w:i/>
      <w:iCs/>
      <w:sz w:val="20"/>
      <w:szCs w:val="20"/>
    </w:rPr>
  </w:style>
  <w:style w:type="character" w:customStyle="1" w:styleId="CoPbulletChar">
    <w:name w:val="CoP bullet Char"/>
    <w:basedOn w:val="DefaultParagraphFont"/>
    <w:link w:val="CoPbullet"/>
    <w:rsid w:val="00DC57E4"/>
    <w:rPr>
      <w:rFonts w:ascii="Arial" w:hAnsi="Arial" w:cs="Arial"/>
    </w:rPr>
  </w:style>
  <w:style w:type="character" w:customStyle="1" w:styleId="CoPSubHeadChar">
    <w:name w:val="CoP SubHead Char"/>
    <w:basedOn w:val="CoPbulletChar"/>
    <w:link w:val="CoPSubHead"/>
    <w:rsid w:val="00DC57E4"/>
    <w:rPr>
      <w:rFonts w:ascii="Arial" w:hAnsi="Arial" w:cs="Arial"/>
      <w:b/>
      <w:color w:val="943634" w:themeColor="accent2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3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3B5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13B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15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09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2B0F"/>
    <w:rPr>
      <w:color w:val="800080" w:themeColor="followedHyperlink"/>
      <w:u w:val="single"/>
    </w:rPr>
  </w:style>
  <w:style w:type="paragraph" w:customStyle="1" w:styleId="Style1">
    <w:name w:val="Style1"/>
    <w:basedOn w:val="ListParagraph"/>
    <w:link w:val="Style1Char"/>
    <w:qFormat/>
    <w:rsid w:val="00A96C21"/>
    <w:pPr>
      <w:ind w:left="0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96C21"/>
  </w:style>
  <w:style w:type="character" w:customStyle="1" w:styleId="Style1Char">
    <w:name w:val="Style1 Char"/>
    <w:basedOn w:val="ListParagraphChar"/>
    <w:link w:val="Style1"/>
    <w:rsid w:val="00A96C21"/>
    <w:rPr>
      <w:rFonts w:ascii="Arial" w:hAnsi="Arial" w:cs="Arial"/>
    </w:rPr>
  </w:style>
  <w:style w:type="paragraph" w:customStyle="1" w:styleId="expandinner">
    <w:name w:val="expandinner"/>
    <w:basedOn w:val="Normal"/>
    <w:rsid w:val="00FA091E"/>
    <w:pPr>
      <w:spacing w:after="36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0"/>
    <w:rsid w:val="001760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TOC3"/>
    <w:qFormat/>
    <w:rsid w:val="00662AC8"/>
    <w:pPr>
      <w:numPr>
        <w:ilvl w:val="2"/>
        <w:numId w:val="4"/>
      </w:numPr>
    </w:pPr>
  </w:style>
  <w:style w:type="paragraph" w:styleId="TOC3">
    <w:name w:val="toc 3"/>
    <w:basedOn w:val="CoPNumberlevel2"/>
    <w:next w:val="Normal"/>
    <w:autoRedefine/>
    <w:uiPriority w:val="39"/>
    <w:unhideWhenUsed/>
    <w:rsid w:val="007E7F9B"/>
    <w:pPr>
      <w:numPr>
        <w:ilvl w:val="0"/>
      </w:numPr>
      <w:tabs>
        <w:tab w:val="right" w:pos="9005"/>
      </w:tabs>
      <w:spacing w:after="120"/>
      <w:ind w:left="720"/>
    </w:pPr>
    <w:rPr>
      <w:rFonts w:asciiTheme="minorHAnsi" w:hAnsiTheme="minorHAnsi" w:cstheme="minorBidi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AC8"/>
    <w:pPr>
      <w:outlineLvl w:val="9"/>
    </w:pPr>
    <w:rPr>
      <w:lang w:val="en-US" w:eastAsia="ja-JP"/>
    </w:rPr>
  </w:style>
  <w:style w:type="paragraph" w:customStyle="1" w:styleId="CoPNumberlevel1">
    <w:name w:val="CoP Number level 1"/>
    <w:basedOn w:val="Style1"/>
    <w:qFormat/>
    <w:rsid w:val="00397F6D"/>
    <w:pPr>
      <w:spacing w:before="240" w:after="120"/>
      <w:contextualSpacing w:val="0"/>
    </w:pPr>
    <w:rPr>
      <w:rFonts w:eastAsia="Calibri"/>
      <w:spacing w:val="-1"/>
    </w:rPr>
  </w:style>
  <w:style w:type="paragraph" w:customStyle="1" w:styleId="CoPNumberlevel2">
    <w:name w:val="CoP Number level 2"/>
    <w:basedOn w:val="Style1"/>
    <w:qFormat/>
    <w:rsid w:val="00F76821"/>
    <w:pPr>
      <w:numPr>
        <w:ilvl w:val="2"/>
      </w:numPr>
      <w:spacing w:before="120" w:after="240"/>
      <w:contextualSpacing w:val="0"/>
    </w:pPr>
  </w:style>
  <w:style w:type="paragraph" w:styleId="TOC4">
    <w:name w:val="toc 4"/>
    <w:basedOn w:val="Normal"/>
    <w:next w:val="Normal"/>
    <w:autoRedefine/>
    <w:uiPriority w:val="39"/>
    <w:unhideWhenUsed/>
    <w:rsid w:val="0087607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76075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76075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76075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76075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76075"/>
    <w:pPr>
      <w:spacing w:after="0"/>
      <w:ind w:left="1760"/>
    </w:pPr>
    <w:rPr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876075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AF564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2E7A"/>
    <w:rPr>
      <w:b/>
      <w:bCs/>
    </w:rPr>
  </w:style>
  <w:style w:type="character" w:styleId="Emphasis">
    <w:name w:val="Emphasis"/>
    <w:basedOn w:val="DefaultParagraphFont"/>
    <w:uiPriority w:val="20"/>
    <w:qFormat/>
    <w:rsid w:val="00642E7A"/>
    <w:rPr>
      <w:i/>
      <w:iCs/>
    </w:rPr>
  </w:style>
  <w:style w:type="paragraph" w:customStyle="1" w:styleId="Pa10">
    <w:name w:val="Pa10"/>
    <w:basedOn w:val="Default"/>
    <w:next w:val="Default"/>
    <w:uiPriority w:val="99"/>
    <w:rsid w:val="0079322A"/>
    <w:pPr>
      <w:spacing w:line="181" w:lineRule="atLeast"/>
    </w:pPr>
    <w:rPr>
      <w:rFonts w:ascii="Interstate Light" w:eastAsiaTheme="minorEastAsia" w:hAnsi="Interstate Light" w:cstheme="minorBidi"/>
      <w:color w:val="auto"/>
      <w:lang w:eastAsia="en-GB"/>
    </w:rPr>
  </w:style>
  <w:style w:type="paragraph" w:customStyle="1" w:styleId="Pa12">
    <w:name w:val="Pa12"/>
    <w:basedOn w:val="Default"/>
    <w:next w:val="Default"/>
    <w:uiPriority w:val="99"/>
    <w:rsid w:val="0079322A"/>
    <w:pPr>
      <w:spacing w:line="181" w:lineRule="atLeast"/>
    </w:pPr>
    <w:rPr>
      <w:rFonts w:ascii="Interstate Light" w:eastAsiaTheme="minorEastAsia" w:hAnsi="Interstate Light" w:cstheme="minorBidi"/>
      <w:color w:val="auto"/>
      <w:lang w:eastAsia="en-GB"/>
    </w:rPr>
  </w:style>
  <w:style w:type="paragraph" w:customStyle="1" w:styleId="bullet1">
    <w:name w:val="bullet1"/>
    <w:basedOn w:val="ListParagraph"/>
    <w:link w:val="bullet1Char"/>
    <w:qFormat/>
    <w:rsid w:val="000727DB"/>
    <w:pPr>
      <w:numPr>
        <w:numId w:val="6"/>
      </w:num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231F20"/>
      <w:lang w:eastAsia="en-US"/>
    </w:rPr>
  </w:style>
  <w:style w:type="character" w:customStyle="1" w:styleId="bullet1Char">
    <w:name w:val="bullet1 Char"/>
    <w:basedOn w:val="DefaultParagraphFont"/>
    <w:link w:val="bullet1"/>
    <w:rsid w:val="000727DB"/>
    <w:rPr>
      <w:rFonts w:ascii="Arial" w:eastAsiaTheme="minorHAnsi" w:hAnsi="Arial" w:cs="Arial"/>
      <w:color w:val="231F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7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1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1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13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ADAFA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7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8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6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36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0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6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ADAFA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318">
              <w:marLeft w:val="0"/>
              <w:marRight w:val="0"/>
              <w:marTop w:val="0"/>
              <w:marBottom w:val="0"/>
              <w:divBdr>
                <w:top w:val="single" w:sz="6" w:space="0" w:color="D9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2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1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3412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9048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87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39960">
              <w:marLeft w:val="0"/>
              <w:marRight w:val="0"/>
              <w:marTop w:val="0"/>
              <w:marBottom w:val="0"/>
              <w:divBdr>
                <w:top w:val="single" w:sz="6" w:space="0" w:color="D9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451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0360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20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43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8962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431">
              <w:marLeft w:val="0"/>
              <w:marRight w:val="0"/>
              <w:marTop w:val="0"/>
              <w:marBottom w:val="0"/>
              <w:divBdr>
                <w:top w:val="single" w:sz="6" w:space="0" w:color="D9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617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537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0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53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sher\AppData\Roaming\Microsoft\Templates\Co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1926-1435-4CED-9E10-C818E1BC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 Template</Template>
  <TotalTime>4</TotalTime>
  <Pages>11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jfisher</dc:creator>
  <cp:lastModifiedBy>Ruth Pollard</cp:lastModifiedBy>
  <cp:revision>5</cp:revision>
  <cp:lastPrinted>2017-10-27T15:53:00Z</cp:lastPrinted>
  <dcterms:created xsi:type="dcterms:W3CDTF">2019-01-30T10:42:00Z</dcterms:created>
  <dcterms:modified xsi:type="dcterms:W3CDTF">2019-01-30T11:11:00Z</dcterms:modified>
</cp:coreProperties>
</file>