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14:paraId="60875C75" w14:textId="77777777" w:rsidTr="00A25B5E">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0AC53BF3" w14:textId="77777777" w:rsidR="00853D2A" w:rsidRDefault="00853D2A" w:rsidP="00CA5861">
            <w:r>
              <w:rPr>
                <w:noProof/>
              </w:rPr>
              <w:drawing>
                <wp:anchor distT="0" distB="0" distL="114300" distR="114300" simplePos="0" relativeHeight="251659264" behindDoc="0" locked="0" layoutInCell="1" allowOverlap="1" wp14:anchorId="19700FA5" wp14:editId="4DEBB59A">
                  <wp:simplePos x="0" y="0"/>
                  <wp:positionH relativeFrom="margin">
                    <wp:posOffset>4336415</wp:posOffset>
                  </wp:positionH>
                  <wp:positionV relativeFrom="margin">
                    <wp:posOffset>112395</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14:paraId="4B998449" w14:textId="77777777" w:rsidR="00853D2A" w:rsidRDefault="00853D2A" w:rsidP="00853D2A"/>
          <w:p w14:paraId="5B74C866" w14:textId="77777777" w:rsidR="00C001F3" w:rsidRPr="00C001F3" w:rsidRDefault="00853D2A" w:rsidP="00853D2A">
            <w:pPr>
              <w:tabs>
                <w:tab w:val="left" w:pos="8205"/>
              </w:tabs>
              <w:rPr>
                <w:b/>
              </w:rPr>
            </w:pPr>
            <w:r>
              <w:tab/>
            </w:r>
          </w:p>
          <w:p w14:paraId="2A38CFC4" w14:textId="77777777" w:rsidR="00ED4A53" w:rsidRPr="00C001F3" w:rsidRDefault="00C001F3" w:rsidP="00C001F3">
            <w:pPr>
              <w:tabs>
                <w:tab w:val="left" w:pos="7095"/>
              </w:tabs>
            </w:pPr>
            <w:r>
              <w:tab/>
            </w:r>
          </w:p>
        </w:tc>
      </w:tr>
      <w:tr w:rsidR="00ED4A53" w14:paraId="54EB7740" w14:textId="77777777"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14:paraId="43F2CE91" w14:textId="77777777" w:rsidR="00ED4A53" w:rsidRPr="004C4556" w:rsidRDefault="00C659A9" w:rsidP="007569D7">
            <w:pPr>
              <w:pStyle w:val="NoSpacing"/>
              <w:spacing w:before="240" w:after="240"/>
              <w:rPr>
                <w:rFonts w:ascii="Arial" w:eastAsia="Times New Roman" w:hAnsi="Arial" w:cs="Arial"/>
                <w:sz w:val="80"/>
                <w:szCs w:val="80"/>
              </w:rPr>
            </w:pPr>
            <w:r>
              <w:rPr>
                <w:rFonts w:ascii="Arial" w:eastAsia="Times New Roman" w:hAnsi="Arial" w:cs="Arial"/>
                <w:b/>
                <w:sz w:val="72"/>
                <w:szCs w:val="72"/>
              </w:rPr>
              <w:t xml:space="preserve">Code of Practice on </w:t>
            </w:r>
            <w:r w:rsidR="00D15C7E">
              <w:rPr>
                <w:rFonts w:ascii="Arial" w:eastAsia="Times New Roman" w:hAnsi="Arial" w:cs="Arial"/>
                <w:b/>
                <w:sz w:val="72"/>
                <w:szCs w:val="72"/>
              </w:rPr>
              <w:t>Assessment and Feedback</w:t>
            </w:r>
          </w:p>
        </w:tc>
      </w:tr>
      <w:tr w:rsidR="00ED4A53" w14:paraId="178CF3EE" w14:textId="77777777"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14:paraId="684AC5A3" w14:textId="77777777" w:rsidR="00ED4A53" w:rsidRPr="00D615B9" w:rsidRDefault="00ED4A53" w:rsidP="00CA5861">
            <w:pPr>
              <w:pStyle w:val="NoSpacing"/>
              <w:spacing w:before="240" w:after="240"/>
              <w:jc w:val="center"/>
              <w:rPr>
                <w:rFonts w:ascii="Arial" w:eastAsia="Times New Roman" w:hAnsi="Arial" w:cs="Arial"/>
                <w:b/>
                <w:sz w:val="44"/>
                <w:szCs w:val="44"/>
              </w:rPr>
            </w:pPr>
          </w:p>
        </w:tc>
      </w:tr>
      <w:tr w:rsidR="00ED4A53" w14:paraId="7571D3D1" w14:textId="77777777"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14:paraId="5B26EF4D" w14:textId="77777777" w:rsidTr="00805611">
              <w:trPr>
                <w:trHeight w:val="397"/>
              </w:trPr>
              <w:tc>
                <w:tcPr>
                  <w:tcW w:w="2371" w:type="pct"/>
                  <w:vAlign w:val="center"/>
                  <w:hideMark/>
                </w:tcPr>
                <w:p w14:paraId="1576B2A7"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14:paraId="05B06532" w14:textId="6D23812D" w:rsidR="00AF57E6" w:rsidRPr="00805611" w:rsidRDefault="00221A13" w:rsidP="00120AB7">
                  <w:pPr>
                    <w:pStyle w:val="NoSpacing"/>
                    <w:spacing w:before="120" w:after="120"/>
                    <w:rPr>
                      <w:rFonts w:ascii="Arial" w:hAnsi="Arial" w:cs="Arial"/>
                    </w:rPr>
                  </w:pPr>
                  <w:r>
                    <w:rPr>
                      <w:rFonts w:ascii="Arial" w:hAnsi="Arial" w:cs="Arial"/>
                    </w:rPr>
                    <w:t>LT CO</w:t>
                  </w:r>
                  <w:r w:rsidR="00BD058F">
                    <w:rPr>
                      <w:rFonts w:ascii="Arial" w:hAnsi="Arial" w:cs="Arial"/>
                    </w:rPr>
                    <w:t>P</w:t>
                  </w:r>
                  <w:r>
                    <w:rPr>
                      <w:rFonts w:ascii="Arial" w:hAnsi="Arial" w:cs="Arial"/>
                    </w:rPr>
                    <w:t xml:space="preserve"> </w:t>
                  </w:r>
                  <w:r w:rsidR="00BD058F">
                    <w:rPr>
                      <w:rFonts w:ascii="Arial" w:hAnsi="Arial" w:cs="Arial"/>
                    </w:rPr>
                    <w:t>10</w:t>
                  </w:r>
                </w:p>
              </w:tc>
            </w:tr>
            <w:tr w:rsidR="00AF57E6" w:rsidRPr="004C4556" w14:paraId="298CBB39" w14:textId="77777777" w:rsidTr="00805611">
              <w:trPr>
                <w:trHeight w:val="397"/>
              </w:trPr>
              <w:tc>
                <w:tcPr>
                  <w:tcW w:w="2371" w:type="pct"/>
                  <w:vAlign w:val="center"/>
                </w:tcPr>
                <w:p w14:paraId="7FB74964"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14:paraId="35877B2A" w14:textId="0F9FAF0D" w:rsidR="00AF57E6" w:rsidRPr="00805611" w:rsidRDefault="00571EA2" w:rsidP="00AF57E6">
                  <w:pPr>
                    <w:pStyle w:val="NoSpacing"/>
                    <w:spacing w:before="120" w:after="120"/>
                    <w:rPr>
                      <w:rFonts w:ascii="Arial" w:hAnsi="Arial" w:cs="Arial"/>
                    </w:rPr>
                  </w:pPr>
                  <w:r>
                    <w:rPr>
                      <w:rFonts w:ascii="Arial" w:hAnsi="Arial" w:cs="Arial"/>
                    </w:rPr>
                    <w:t>2.1</w:t>
                  </w:r>
                </w:p>
              </w:tc>
            </w:tr>
            <w:tr w:rsidR="00AF57E6" w:rsidRPr="004C4556" w14:paraId="6143E4C5" w14:textId="77777777" w:rsidTr="00805611">
              <w:trPr>
                <w:trHeight w:val="397"/>
              </w:trPr>
              <w:tc>
                <w:tcPr>
                  <w:tcW w:w="2371" w:type="pct"/>
                  <w:vAlign w:val="center"/>
                </w:tcPr>
                <w:p w14:paraId="16F73FB1" w14:textId="77777777"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14:paraId="265335CE" w14:textId="206BA267" w:rsidR="00AF57E6" w:rsidRPr="00805611" w:rsidRDefault="00067E24" w:rsidP="00A1563B">
                  <w:pPr>
                    <w:pStyle w:val="NoSpacing"/>
                    <w:spacing w:before="120" w:after="120"/>
                    <w:rPr>
                      <w:rFonts w:ascii="Arial" w:hAnsi="Arial" w:cs="Arial"/>
                    </w:rPr>
                  </w:pPr>
                  <w:r>
                    <w:rPr>
                      <w:rFonts w:ascii="Arial" w:hAnsi="Arial" w:cs="Arial"/>
                    </w:rPr>
                    <w:t>1.</w:t>
                  </w:r>
                  <w:r w:rsidR="00A1563B">
                    <w:rPr>
                      <w:rFonts w:ascii="Arial" w:hAnsi="Arial" w:cs="Arial"/>
                    </w:rPr>
                    <w:t>2</w:t>
                  </w:r>
                </w:p>
              </w:tc>
            </w:tr>
            <w:tr w:rsidR="00AF57E6" w:rsidRPr="004C4556" w14:paraId="24FBDB69" w14:textId="77777777" w:rsidTr="00805611">
              <w:trPr>
                <w:trHeight w:val="397"/>
              </w:trPr>
              <w:tc>
                <w:tcPr>
                  <w:tcW w:w="2371" w:type="pct"/>
                  <w:vAlign w:val="center"/>
                </w:tcPr>
                <w:p w14:paraId="04AC379B"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14:paraId="5DDDE736" w14:textId="416BD34B" w:rsidR="00AF57E6" w:rsidRPr="00805611" w:rsidRDefault="00067E24" w:rsidP="00AF57E6">
                  <w:pPr>
                    <w:pStyle w:val="NoSpacing"/>
                    <w:spacing w:before="120" w:after="120"/>
                    <w:rPr>
                      <w:rFonts w:ascii="Arial" w:hAnsi="Arial" w:cs="Arial"/>
                    </w:rPr>
                  </w:pPr>
                  <w:r>
                    <w:rPr>
                      <w:rFonts w:ascii="Arial" w:hAnsi="Arial" w:cs="Arial"/>
                    </w:rPr>
                    <w:t>V 1.0 approved 28.01.15</w:t>
                  </w:r>
                </w:p>
              </w:tc>
            </w:tr>
            <w:tr w:rsidR="00AF57E6" w:rsidRPr="004C4556" w14:paraId="55968F1F" w14:textId="77777777" w:rsidTr="00805611">
              <w:trPr>
                <w:trHeight w:val="397"/>
              </w:trPr>
              <w:tc>
                <w:tcPr>
                  <w:tcW w:w="2371" w:type="pct"/>
                  <w:vAlign w:val="center"/>
                </w:tcPr>
                <w:p w14:paraId="6D1D07FC" w14:textId="77777777"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14:paraId="0DC83B45" w14:textId="77777777"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14:paraId="787D6DB5" w14:textId="77777777" w:rsidTr="00805611">
              <w:trPr>
                <w:trHeight w:val="397"/>
              </w:trPr>
              <w:tc>
                <w:tcPr>
                  <w:tcW w:w="2371" w:type="pct"/>
                  <w:vAlign w:val="center"/>
                </w:tcPr>
                <w:p w14:paraId="0BFD75ED"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14:paraId="15A1BA86" w14:textId="787B1F33" w:rsidR="00AF57E6" w:rsidRPr="00805611" w:rsidRDefault="00067E24" w:rsidP="00DC29F2">
                  <w:pPr>
                    <w:pStyle w:val="NoSpacing"/>
                    <w:spacing w:before="120" w:after="120"/>
                    <w:rPr>
                      <w:rFonts w:ascii="Arial" w:hAnsi="Arial" w:cs="Arial"/>
                    </w:rPr>
                  </w:pPr>
                  <w:r>
                    <w:rPr>
                      <w:rFonts w:ascii="Arial" w:hAnsi="Arial" w:cs="Arial"/>
                    </w:rPr>
                    <w:t>J</w:t>
                  </w:r>
                  <w:r w:rsidR="00831021">
                    <w:rPr>
                      <w:rFonts w:ascii="Arial" w:hAnsi="Arial" w:cs="Arial"/>
                    </w:rPr>
                    <w:t>uly</w:t>
                  </w:r>
                  <w:r w:rsidR="00EF4F88">
                    <w:rPr>
                      <w:rFonts w:ascii="Arial" w:hAnsi="Arial" w:cs="Arial"/>
                    </w:rPr>
                    <w:t xml:space="preserve"> 201</w:t>
                  </w:r>
                  <w:r w:rsidR="00571EA2">
                    <w:rPr>
                      <w:rFonts w:ascii="Arial" w:hAnsi="Arial" w:cs="Arial"/>
                    </w:rPr>
                    <w:t>9</w:t>
                  </w:r>
                </w:p>
              </w:tc>
            </w:tr>
          </w:tbl>
          <w:p w14:paraId="7EE6C072" w14:textId="77777777" w:rsidR="00ED4A53" w:rsidRPr="004C4556" w:rsidRDefault="00ED4A53" w:rsidP="00CA5861">
            <w:pPr>
              <w:pStyle w:val="NoSpacing"/>
              <w:ind w:right="-166"/>
              <w:jc w:val="center"/>
              <w:rPr>
                <w:rFonts w:ascii="Arial" w:hAnsi="Arial" w:cs="Arial"/>
                <w:b/>
                <w:bCs/>
              </w:rPr>
            </w:pPr>
          </w:p>
        </w:tc>
      </w:tr>
      <w:tr w:rsidR="00ED4A53" w14:paraId="3DD6B24E" w14:textId="77777777"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14:paraId="3735DE80" w14:textId="77777777" w:rsidTr="00805611">
              <w:trPr>
                <w:trHeight w:val="397"/>
              </w:trPr>
              <w:tc>
                <w:tcPr>
                  <w:tcW w:w="5000" w:type="pct"/>
                  <w:gridSpan w:val="2"/>
                  <w:shd w:val="clear" w:color="auto" w:fill="E5B8B7" w:themeFill="accent2" w:themeFillTint="66"/>
                  <w:vAlign w:val="center"/>
                  <w:hideMark/>
                </w:tcPr>
                <w:p w14:paraId="2AD7E340" w14:textId="77777777"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805611" w:rsidRPr="00853D2A" w14:paraId="4059A218" w14:textId="77777777" w:rsidTr="00805611">
              <w:trPr>
                <w:trHeight w:val="397"/>
              </w:trPr>
              <w:tc>
                <w:tcPr>
                  <w:tcW w:w="2371" w:type="pct"/>
                  <w:vAlign w:val="center"/>
                </w:tcPr>
                <w:p w14:paraId="28A59C95" w14:textId="146BD2CF" w:rsidR="00805611" w:rsidRPr="00805611" w:rsidRDefault="00805611" w:rsidP="00EB7D08">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w:t>
                  </w:r>
                  <w:r w:rsidR="00EB7D08">
                    <w:rPr>
                      <w:rFonts w:ascii="Arial" w:hAnsi="Arial" w:cs="Arial"/>
                    </w:rPr>
                    <w:t>de of Practice</w:t>
                  </w:r>
                </w:p>
              </w:tc>
              <w:tc>
                <w:tcPr>
                  <w:tcW w:w="2629" w:type="pct"/>
                  <w:vAlign w:val="center"/>
                </w:tcPr>
                <w:p w14:paraId="7474CFED" w14:textId="38831EB4" w:rsidR="00805611" w:rsidRPr="00805611" w:rsidRDefault="00067E24" w:rsidP="00805611">
                  <w:pPr>
                    <w:pStyle w:val="NoSpacing"/>
                    <w:spacing w:before="120" w:after="120"/>
                    <w:rPr>
                      <w:rFonts w:ascii="Arial" w:hAnsi="Arial" w:cs="Arial"/>
                    </w:rPr>
                  </w:pPr>
                  <w:r>
                    <w:rPr>
                      <w:rFonts w:ascii="Arial" w:hAnsi="Arial" w:cs="Arial"/>
                    </w:rPr>
                    <w:t>D</w:t>
                  </w:r>
                  <w:r w:rsidR="00571EA2">
                    <w:rPr>
                      <w:rFonts w:ascii="Arial" w:hAnsi="Arial" w:cs="Arial"/>
                    </w:rPr>
                    <w:t>ean</w:t>
                  </w:r>
                  <w:r>
                    <w:rPr>
                      <w:rFonts w:ascii="Arial" w:hAnsi="Arial" w:cs="Arial"/>
                    </w:rPr>
                    <w:t xml:space="preserve"> of Education; Academic Registrar; Directors of Studies; </w:t>
                  </w:r>
                  <w:r w:rsidR="006835D3">
                    <w:rPr>
                      <w:rFonts w:ascii="Arial" w:hAnsi="Arial" w:cs="Arial"/>
                    </w:rPr>
                    <w:t>Quality Unit staff</w:t>
                  </w:r>
                </w:p>
              </w:tc>
            </w:tr>
            <w:tr w:rsidR="00805611" w:rsidRPr="00853D2A" w14:paraId="3A3C4EB9" w14:textId="77777777" w:rsidTr="00805611">
              <w:trPr>
                <w:trHeight w:val="397"/>
              </w:trPr>
              <w:tc>
                <w:tcPr>
                  <w:tcW w:w="2371" w:type="pct"/>
                  <w:vAlign w:val="center"/>
                </w:tcPr>
                <w:p w14:paraId="49AC5B3E" w14:textId="15164035"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EB7D08">
                    <w:rPr>
                      <w:rFonts w:ascii="Arial" w:hAnsi="Arial" w:cs="Arial"/>
                    </w:rPr>
                    <w:t>Code of Practice</w:t>
                  </w:r>
                </w:p>
              </w:tc>
              <w:tc>
                <w:tcPr>
                  <w:tcW w:w="2629" w:type="pct"/>
                  <w:vAlign w:val="center"/>
                </w:tcPr>
                <w:p w14:paraId="74354245" w14:textId="4621391A" w:rsidR="00805611" w:rsidRPr="00805611" w:rsidRDefault="00067E24">
                  <w:pPr>
                    <w:pStyle w:val="NoSpacing"/>
                    <w:spacing w:before="120" w:after="120"/>
                    <w:rPr>
                      <w:rFonts w:ascii="Arial" w:hAnsi="Arial" w:cs="Arial"/>
                    </w:rPr>
                  </w:pPr>
                  <w:r>
                    <w:rPr>
                      <w:rFonts w:ascii="Arial" w:hAnsi="Arial" w:cs="Arial"/>
                    </w:rPr>
                    <w:t xml:space="preserve">Module Convenors; </w:t>
                  </w:r>
                  <w:r w:rsidR="006835D3">
                    <w:rPr>
                      <w:rFonts w:ascii="Arial" w:hAnsi="Arial" w:cs="Arial"/>
                    </w:rPr>
                    <w:t>Academic staff involved in marking assessments</w:t>
                  </w:r>
                  <w:r>
                    <w:rPr>
                      <w:rFonts w:ascii="Arial" w:hAnsi="Arial" w:cs="Arial"/>
                    </w:rPr>
                    <w:t>; Students</w:t>
                  </w:r>
                  <w:r w:rsidR="006835D3">
                    <w:rPr>
                      <w:rFonts w:ascii="Arial" w:hAnsi="Arial" w:cs="Arial"/>
                    </w:rPr>
                    <w:t xml:space="preserve"> </w:t>
                  </w:r>
                </w:p>
              </w:tc>
            </w:tr>
            <w:tr w:rsidR="00805611" w:rsidRPr="00853D2A" w14:paraId="4EDB7CF2" w14:textId="77777777" w:rsidTr="00805611">
              <w:trPr>
                <w:trHeight w:val="397"/>
              </w:trPr>
              <w:tc>
                <w:tcPr>
                  <w:tcW w:w="2371" w:type="pct"/>
                  <w:vAlign w:val="center"/>
                </w:tcPr>
                <w:p w14:paraId="36A4DA36" w14:textId="3DFDA881"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EB7D08">
                    <w:rPr>
                      <w:rFonts w:ascii="Arial" w:hAnsi="Arial" w:cs="Arial"/>
                    </w:rPr>
                    <w:t>Code of Practice</w:t>
                  </w:r>
                  <w:r>
                    <w:rPr>
                      <w:rFonts w:ascii="Arial" w:hAnsi="Arial" w:cs="Arial"/>
                    </w:rPr>
                    <w:t xml:space="preserve"> </w:t>
                  </w:r>
                  <w:r w:rsidRPr="00805611">
                    <w:rPr>
                      <w:rFonts w:ascii="Arial" w:hAnsi="Arial" w:cs="Arial"/>
                    </w:rPr>
                    <w:t>exists</w:t>
                  </w:r>
                </w:p>
              </w:tc>
              <w:tc>
                <w:tcPr>
                  <w:tcW w:w="2629" w:type="pct"/>
                  <w:vAlign w:val="center"/>
                </w:tcPr>
                <w:p w14:paraId="6D541CA3" w14:textId="7AD3DAF1" w:rsidR="00805611" w:rsidRPr="00805611" w:rsidRDefault="006835D3" w:rsidP="00E9635E">
                  <w:pPr>
                    <w:pStyle w:val="NoSpacing"/>
                    <w:spacing w:before="120" w:after="120"/>
                    <w:rPr>
                      <w:rFonts w:ascii="Arial" w:hAnsi="Arial" w:cs="Arial"/>
                    </w:rPr>
                  </w:pPr>
                  <w:r>
                    <w:rPr>
                      <w:rFonts w:ascii="Arial" w:hAnsi="Arial" w:cs="Arial"/>
                    </w:rPr>
                    <w:t xml:space="preserve">All academic staff and administrative staff involved </w:t>
                  </w:r>
                  <w:r w:rsidR="00E9635E">
                    <w:rPr>
                      <w:rFonts w:ascii="Arial" w:hAnsi="Arial" w:cs="Arial"/>
                    </w:rPr>
                    <w:t>with</w:t>
                  </w:r>
                  <w:r>
                    <w:rPr>
                      <w:rFonts w:ascii="Arial" w:hAnsi="Arial" w:cs="Arial"/>
                    </w:rPr>
                    <w:t xml:space="preserve"> teaching</w:t>
                  </w:r>
                  <w:r w:rsidR="00067E24">
                    <w:rPr>
                      <w:rFonts w:ascii="Arial" w:hAnsi="Arial" w:cs="Arial"/>
                    </w:rPr>
                    <w:t xml:space="preserve">; </w:t>
                  </w:r>
                </w:p>
              </w:tc>
            </w:tr>
          </w:tbl>
          <w:p w14:paraId="555520C3" w14:textId="77777777" w:rsidR="00805611" w:rsidRPr="00853D2A" w:rsidRDefault="00805611" w:rsidP="00805611">
            <w:pPr>
              <w:pStyle w:val="NoSpacing"/>
              <w:rPr>
                <w:rFonts w:ascii="Arial" w:hAnsi="Arial" w:cs="Arial"/>
                <w:sz w:val="20"/>
              </w:rPr>
            </w:pPr>
          </w:p>
        </w:tc>
      </w:tr>
    </w:tbl>
    <w:p w14:paraId="70832F87" w14:textId="77777777"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14:paraId="5282AC34" w14:textId="4D294F0E" w:rsidR="00244234" w:rsidRDefault="00876075">
      <w:pPr>
        <w:pStyle w:val="TOC1"/>
        <w:rPr>
          <w:rFonts w:asciiTheme="minorHAnsi" w:hAnsiTheme="minorHAnsi" w:cstheme="minorBidi"/>
          <w:bCs w:val="0"/>
          <w:sz w:val="22"/>
          <w:szCs w:val="22"/>
        </w:rPr>
      </w:pPr>
      <w:r w:rsidRPr="00846FB2">
        <w:rPr>
          <w:color w:val="943634" w:themeColor="accent2" w:themeShade="BF"/>
        </w:rPr>
        <w:fldChar w:fldCharType="begin"/>
      </w:r>
      <w:r w:rsidRPr="00846FB2">
        <w:rPr>
          <w:color w:val="943634" w:themeColor="accent2" w:themeShade="BF"/>
        </w:rPr>
        <w:instrText xml:space="preserve"> TOC \p " " \h \z \t "CoP border heading,1" </w:instrText>
      </w:r>
      <w:r w:rsidRPr="00846FB2">
        <w:rPr>
          <w:color w:val="943634" w:themeColor="accent2" w:themeShade="BF"/>
        </w:rPr>
        <w:fldChar w:fldCharType="separate"/>
      </w:r>
      <w:hyperlink w:anchor="_Toc426405562" w:history="1">
        <w:r w:rsidR="00244234" w:rsidRPr="006A6B35">
          <w:rPr>
            <w:rStyle w:val="Hyperlink"/>
          </w:rPr>
          <w:t>1</w:t>
        </w:r>
        <w:r w:rsidR="00244234">
          <w:rPr>
            <w:rFonts w:asciiTheme="minorHAnsi" w:hAnsiTheme="minorHAnsi" w:cstheme="minorBidi"/>
            <w:bCs w:val="0"/>
            <w:sz w:val="22"/>
            <w:szCs w:val="22"/>
          </w:rPr>
          <w:tab/>
        </w:r>
        <w:r w:rsidR="00244234" w:rsidRPr="006A6B35">
          <w:rPr>
            <w:rStyle w:val="Hyperlink"/>
            <w:rFonts w:eastAsia="Calibri"/>
            <w:spacing w:val="-1"/>
          </w:rPr>
          <w:t>Introduction</w:t>
        </w:r>
        <w:r w:rsidR="00244234" w:rsidRPr="006A6B35">
          <w:rPr>
            <w:rStyle w:val="Hyperlink"/>
          </w:rPr>
          <w:t xml:space="preserve"> and Context</w:t>
        </w:r>
        <w:r w:rsidR="00244234">
          <w:rPr>
            <w:webHidden/>
          </w:rPr>
          <w:t xml:space="preserve"> </w:t>
        </w:r>
        <w:r w:rsidR="00244234">
          <w:rPr>
            <w:webHidden/>
          </w:rPr>
          <w:tab/>
        </w:r>
        <w:r w:rsidR="00244234">
          <w:rPr>
            <w:webHidden/>
          </w:rPr>
          <w:fldChar w:fldCharType="begin"/>
        </w:r>
        <w:r w:rsidR="00244234">
          <w:rPr>
            <w:webHidden/>
          </w:rPr>
          <w:instrText xml:space="preserve"> PAGEREF _Toc426405562 \h </w:instrText>
        </w:r>
        <w:r w:rsidR="00244234">
          <w:rPr>
            <w:webHidden/>
          </w:rPr>
        </w:r>
        <w:r w:rsidR="00244234">
          <w:rPr>
            <w:webHidden/>
          </w:rPr>
          <w:fldChar w:fldCharType="separate"/>
        </w:r>
        <w:r w:rsidR="00831021">
          <w:rPr>
            <w:webHidden/>
          </w:rPr>
          <w:t>3</w:t>
        </w:r>
        <w:r w:rsidR="00244234">
          <w:rPr>
            <w:webHidden/>
          </w:rPr>
          <w:fldChar w:fldCharType="end"/>
        </w:r>
      </w:hyperlink>
    </w:p>
    <w:p w14:paraId="7A15357B" w14:textId="25416C36" w:rsidR="00244234" w:rsidRDefault="00904E2A">
      <w:pPr>
        <w:pStyle w:val="TOC1"/>
        <w:rPr>
          <w:rFonts w:asciiTheme="minorHAnsi" w:hAnsiTheme="minorHAnsi" w:cstheme="minorBidi"/>
          <w:bCs w:val="0"/>
          <w:sz w:val="22"/>
          <w:szCs w:val="22"/>
        </w:rPr>
      </w:pPr>
      <w:hyperlink w:anchor="_Toc426405563" w:history="1">
        <w:r w:rsidR="00244234" w:rsidRPr="006A6B35">
          <w:rPr>
            <w:rStyle w:val="Hyperlink"/>
          </w:rPr>
          <w:t>2</w:t>
        </w:r>
        <w:r w:rsidR="00244234">
          <w:rPr>
            <w:rFonts w:asciiTheme="minorHAnsi" w:hAnsiTheme="minorHAnsi" w:cstheme="minorBidi"/>
            <w:bCs w:val="0"/>
            <w:sz w:val="22"/>
            <w:szCs w:val="22"/>
          </w:rPr>
          <w:tab/>
        </w:r>
        <w:r w:rsidR="00244234" w:rsidRPr="006A6B35">
          <w:rPr>
            <w:rStyle w:val="Hyperlink"/>
            <w:rFonts w:eastAsia="Calibri"/>
            <w:spacing w:val="-1"/>
          </w:rPr>
          <w:t>Scope</w:t>
        </w:r>
        <w:r w:rsidR="00244234">
          <w:rPr>
            <w:webHidden/>
          </w:rPr>
          <w:t xml:space="preserve"> </w:t>
        </w:r>
        <w:r w:rsidR="00244234">
          <w:rPr>
            <w:webHidden/>
          </w:rPr>
          <w:tab/>
        </w:r>
        <w:r w:rsidR="00244234">
          <w:rPr>
            <w:webHidden/>
          </w:rPr>
          <w:fldChar w:fldCharType="begin"/>
        </w:r>
        <w:r w:rsidR="00244234">
          <w:rPr>
            <w:webHidden/>
          </w:rPr>
          <w:instrText xml:space="preserve"> PAGEREF _Toc426405563 \h </w:instrText>
        </w:r>
        <w:r w:rsidR="00244234">
          <w:rPr>
            <w:webHidden/>
          </w:rPr>
        </w:r>
        <w:r w:rsidR="00244234">
          <w:rPr>
            <w:webHidden/>
          </w:rPr>
          <w:fldChar w:fldCharType="separate"/>
        </w:r>
        <w:r w:rsidR="00831021">
          <w:rPr>
            <w:webHidden/>
          </w:rPr>
          <w:t>4</w:t>
        </w:r>
        <w:r w:rsidR="00244234">
          <w:rPr>
            <w:webHidden/>
          </w:rPr>
          <w:fldChar w:fldCharType="end"/>
        </w:r>
      </w:hyperlink>
    </w:p>
    <w:p w14:paraId="1AB1B3C9" w14:textId="2AA300D4" w:rsidR="00244234" w:rsidRDefault="00904E2A">
      <w:pPr>
        <w:pStyle w:val="TOC1"/>
        <w:rPr>
          <w:rFonts w:asciiTheme="minorHAnsi" w:hAnsiTheme="minorHAnsi" w:cstheme="minorBidi"/>
          <w:bCs w:val="0"/>
          <w:sz w:val="22"/>
          <w:szCs w:val="22"/>
        </w:rPr>
      </w:pPr>
      <w:hyperlink w:anchor="_Toc426405564" w:history="1">
        <w:r w:rsidR="00244234" w:rsidRPr="006A6B35">
          <w:rPr>
            <w:rStyle w:val="Hyperlink"/>
          </w:rPr>
          <w:t>3</w:t>
        </w:r>
        <w:r w:rsidR="00244234">
          <w:rPr>
            <w:rFonts w:asciiTheme="minorHAnsi" w:hAnsiTheme="minorHAnsi" w:cstheme="minorBidi"/>
            <w:bCs w:val="0"/>
            <w:sz w:val="22"/>
            <w:szCs w:val="22"/>
          </w:rPr>
          <w:tab/>
        </w:r>
        <w:r w:rsidR="00244234" w:rsidRPr="006A6B35">
          <w:rPr>
            <w:rStyle w:val="Hyperlink"/>
          </w:rPr>
          <w:t>Roles and Responsibilities</w:t>
        </w:r>
        <w:r w:rsidR="00244234">
          <w:rPr>
            <w:webHidden/>
          </w:rPr>
          <w:t xml:space="preserve"> </w:t>
        </w:r>
        <w:r w:rsidR="00244234">
          <w:rPr>
            <w:webHidden/>
          </w:rPr>
          <w:tab/>
        </w:r>
        <w:r w:rsidR="00244234">
          <w:rPr>
            <w:webHidden/>
          </w:rPr>
          <w:fldChar w:fldCharType="begin"/>
        </w:r>
        <w:r w:rsidR="00244234">
          <w:rPr>
            <w:webHidden/>
          </w:rPr>
          <w:instrText xml:space="preserve"> PAGEREF _Toc426405564 \h </w:instrText>
        </w:r>
        <w:r w:rsidR="00244234">
          <w:rPr>
            <w:webHidden/>
          </w:rPr>
        </w:r>
        <w:r w:rsidR="00244234">
          <w:rPr>
            <w:webHidden/>
          </w:rPr>
          <w:fldChar w:fldCharType="separate"/>
        </w:r>
        <w:r w:rsidR="00831021">
          <w:rPr>
            <w:webHidden/>
          </w:rPr>
          <w:t>4</w:t>
        </w:r>
        <w:r w:rsidR="00244234">
          <w:rPr>
            <w:webHidden/>
          </w:rPr>
          <w:fldChar w:fldCharType="end"/>
        </w:r>
      </w:hyperlink>
    </w:p>
    <w:p w14:paraId="2E4AE27D" w14:textId="6A4AEF4E" w:rsidR="00244234" w:rsidRDefault="00904E2A">
      <w:pPr>
        <w:pStyle w:val="TOC1"/>
        <w:rPr>
          <w:rFonts w:asciiTheme="minorHAnsi" w:hAnsiTheme="minorHAnsi" w:cstheme="minorBidi"/>
          <w:bCs w:val="0"/>
          <w:sz w:val="22"/>
          <w:szCs w:val="22"/>
        </w:rPr>
      </w:pPr>
      <w:hyperlink w:anchor="_Toc426405565" w:history="1">
        <w:r w:rsidR="00244234" w:rsidRPr="006A6B35">
          <w:rPr>
            <w:rStyle w:val="Hyperlink"/>
          </w:rPr>
          <w:t>4</w:t>
        </w:r>
        <w:r w:rsidR="00244234">
          <w:rPr>
            <w:rFonts w:asciiTheme="minorHAnsi" w:hAnsiTheme="minorHAnsi" w:cstheme="minorBidi"/>
            <w:bCs w:val="0"/>
            <w:sz w:val="22"/>
            <w:szCs w:val="22"/>
          </w:rPr>
          <w:tab/>
        </w:r>
        <w:r w:rsidR="00244234" w:rsidRPr="006A6B35">
          <w:rPr>
            <w:rStyle w:val="Hyperlink"/>
            <w:rFonts w:eastAsia="Calibri"/>
            <w:spacing w:val="-1"/>
          </w:rPr>
          <w:t>Principles</w:t>
        </w:r>
        <w:r w:rsidR="00244234" w:rsidRPr="006A6B35">
          <w:rPr>
            <w:rStyle w:val="Hyperlink"/>
          </w:rPr>
          <w:t xml:space="preserve"> of Assessment</w:t>
        </w:r>
        <w:r w:rsidR="00244234">
          <w:rPr>
            <w:webHidden/>
          </w:rPr>
          <w:t xml:space="preserve"> </w:t>
        </w:r>
        <w:r w:rsidR="00244234">
          <w:rPr>
            <w:webHidden/>
          </w:rPr>
          <w:tab/>
        </w:r>
        <w:r w:rsidR="00244234">
          <w:rPr>
            <w:webHidden/>
          </w:rPr>
          <w:fldChar w:fldCharType="begin"/>
        </w:r>
        <w:r w:rsidR="00244234">
          <w:rPr>
            <w:webHidden/>
          </w:rPr>
          <w:instrText xml:space="preserve"> PAGEREF _Toc426405565 \h </w:instrText>
        </w:r>
        <w:r w:rsidR="00244234">
          <w:rPr>
            <w:webHidden/>
          </w:rPr>
        </w:r>
        <w:r w:rsidR="00244234">
          <w:rPr>
            <w:webHidden/>
          </w:rPr>
          <w:fldChar w:fldCharType="separate"/>
        </w:r>
        <w:r w:rsidR="00831021">
          <w:rPr>
            <w:webHidden/>
          </w:rPr>
          <w:t>6</w:t>
        </w:r>
        <w:r w:rsidR="00244234">
          <w:rPr>
            <w:webHidden/>
          </w:rPr>
          <w:fldChar w:fldCharType="end"/>
        </w:r>
      </w:hyperlink>
    </w:p>
    <w:p w14:paraId="09DF9F4B" w14:textId="35B8B459" w:rsidR="00244234" w:rsidRDefault="00904E2A">
      <w:pPr>
        <w:pStyle w:val="TOC1"/>
        <w:rPr>
          <w:rFonts w:asciiTheme="minorHAnsi" w:hAnsiTheme="minorHAnsi" w:cstheme="minorBidi"/>
          <w:bCs w:val="0"/>
          <w:sz w:val="22"/>
          <w:szCs w:val="22"/>
        </w:rPr>
      </w:pPr>
      <w:hyperlink w:anchor="_Toc426405566" w:history="1">
        <w:r w:rsidR="00244234" w:rsidRPr="006A6B35">
          <w:rPr>
            <w:rStyle w:val="Hyperlink"/>
          </w:rPr>
          <w:t>5</w:t>
        </w:r>
        <w:r w:rsidR="00244234">
          <w:rPr>
            <w:rFonts w:asciiTheme="minorHAnsi" w:hAnsiTheme="minorHAnsi" w:cstheme="minorBidi"/>
            <w:bCs w:val="0"/>
            <w:sz w:val="22"/>
            <w:szCs w:val="22"/>
          </w:rPr>
          <w:tab/>
        </w:r>
        <w:r w:rsidR="00244234" w:rsidRPr="006A6B35">
          <w:rPr>
            <w:rStyle w:val="Hyperlink"/>
            <w:rFonts w:eastAsia="Calibri"/>
            <w:spacing w:val="-1"/>
          </w:rPr>
          <w:t>Principles</w:t>
        </w:r>
        <w:r w:rsidR="00244234" w:rsidRPr="006A6B35">
          <w:rPr>
            <w:rStyle w:val="Hyperlink"/>
          </w:rPr>
          <w:t xml:space="preserve"> of Feedback</w:t>
        </w:r>
        <w:r w:rsidR="00244234">
          <w:rPr>
            <w:webHidden/>
          </w:rPr>
          <w:t xml:space="preserve"> </w:t>
        </w:r>
        <w:r w:rsidR="00244234">
          <w:rPr>
            <w:webHidden/>
          </w:rPr>
          <w:tab/>
        </w:r>
        <w:r w:rsidR="00244234">
          <w:rPr>
            <w:webHidden/>
          </w:rPr>
          <w:fldChar w:fldCharType="begin"/>
        </w:r>
        <w:r w:rsidR="00244234">
          <w:rPr>
            <w:webHidden/>
          </w:rPr>
          <w:instrText xml:space="preserve"> PAGEREF _Toc426405566 \h </w:instrText>
        </w:r>
        <w:r w:rsidR="00244234">
          <w:rPr>
            <w:webHidden/>
          </w:rPr>
        </w:r>
        <w:r w:rsidR="00244234">
          <w:rPr>
            <w:webHidden/>
          </w:rPr>
          <w:fldChar w:fldCharType="separate"/>
        </w:r>
        <w:r w:rsidR="00831021">
          <w:rPr>
            <w:webHidden/>
          </w:rPr>
          <w:t>6</w:t>
        </w:r>
        <w:r w:rsidR="00244234">
          <w:rPr>
            <w:webHidden/>
          </w:rPr>
          <w:fldChar w:fldCharType="end"/>
        </w:r>
      </w:hyperlink>
    </w:p>
    <w:p w14:paraId="62EEB777" w14:textId="2D529126" w:rsidR="00244234" w:rsidRDefault="00904E2A">
      <w:pPr>
        <w:pStyle w:val="TOC1"/>
        <w:rPr>
          <w:rFonts w:asciiTheme="minorHAnsi" w:hAnsiTheme="minorHAnsi" w:cstheme="minorBidi"/>
          <w:bCs w:val="0"/>
          <w:sz w:val="22"/>
          <w:szCs w:val="22"/>
        </w:rPr>
      </w:pPr>
      <w:hyperlink w:anchor="_Toc426405567" w:history="1">
        <w:r w:rsidR="00244234" w:rsidRPr="006A6B35">
          <w:rPr>
            <w:rStyle w:val="Hyperlink"/>
          </w:rPr>
          <w:t>6</w:t>
        </w:r>
        <w:r w:rsidR="00244234">
          <w:rPr>
            <w:rFonts w:asciiTheme="minorHAnsi" w:hAnsiTheme="minorHAnsi" w:cstheme="minorBidi"/>
            <w:bCs w:val="0"/>
            <w:sz w:val="22"/>
            <w:szCs w:val="22"/>
          </w:rPr>
          <w:tab/>
        </w:r>
        <w:r w:rsidR="00244234" w:rsidRPr="006A6B35">
          <w:rPr>
            <w:rStyle w:val="Hyperlink"/>
            <w:rFonts w:eastAsia="Calibri"/>
            <w:spacing w:val="-1"/>
          </w:rPr>
          <w:t>Timing</w:t>
        </w:r>
        <w:r w:rsidR="00244234" w:rsidRPr="006A6B35">
          <w:rPr>
            <w:rStyle w:val="Hyperlink"/>
          </w:rPr>
          <w:t xml:space="preserve"> of Assessment</w:t>
        </w:r>
        <w:r w:rsidR="00244234">
          <w:rPr>
            <w:webHidden/>
          </w:rPr>
          <w:t xml:space="preserve"> </w:t>
        </w:r>
        <w:r w:rsidR="00244234">
          <w:rPr>
            <w:webHidden/>
          </w:rPr>
          <w:tab/>
        </w:r>
        <w:r w:rsidR="00244234">
          <w:rPr>
            <w:webHidden/>
          </w:rPr>
          <w:fldChar w:fldCharType="begin"/>
        </w:r>
        <w:r w:rsidR="00244234">
          <w:rPr>
            <w:webHidden/>
          </w:rPr>
          <w:instrText xml:space="preserve"> PAGEREF _Toc426405567 \h </w:instrText>
        </w:r>
        <w:r w:rsidR="00244234">
          <w:rPr>
            <w:webHidden/>
          </w:rPr>
        </w:r>
        <w:r w:rsidR="00244234">
          <w:rPr>
            <w:webHidden/>
          </w:rPr>
          <w:fldChar w:fldCharType="separate"/>
        </w:r>
        <w:r w:rsidR="00831021">
          <w:rPr>
            <w:webHidden/>
          </w:rPr>
          <w:t>7</w:t>
        </w:r>
        <w:r w:rsidR="00244234">
          <w:rPr>
            <w:webHidden/>
          </w:rPr>
          <w:fldChar w:fldCharType="end"/>
        </w:r>
      </w:hyperlink>
    </w:p>
    <w:p w14:paraId="7B014B69" w14:textId="6AC10AFC" w:rsidR="00244234" w:rsidRDefault="00904E2A">
      <w:pPr>
        <w:pStyle w:val="TOC1"/>
        <w:rPr>
          <w:rFonts w:asciiTheme="minorHAnsi" w:hAnsiTheme="minorHAnsi" w:cstheme="minorBidi"/>
          <w:bCs w:val="0"/>
          <w:sz w:val="22"/>
          <w:szCs w:val="22"/>
        </w:rPr>
      </w:pPr>
      <w:hyperlink w:anchor="_Toc426405568" w:history="1">
        <w:r w:rsidR="00244234" w:rsidRPr="006A6B35">
          <w:rPr>
            <w:rStyle w:val="Hyperlink"/>
          </w:rPr>
          <w:t>7</w:t>
        </w:r>
        <w:r w:rsidR="00244234">
          <w:rPr>
            <w:rFonts w:asciiTheme="minorHAnsi" w:hAnsiTheme="minorHAnsi" w:cstheme="minorBidi"/>
            <w:bCs w:val="0"/>
            <w:sz w:val="22"/>
            <w:szCs w:val="22"/>
          </w:rPr>
          <w:tab/>
        </w:r>
        <w:r w:rsidR="00244234" w:rsidRPr="006A6B35">
          <w:rPr>
            <w:rStyle w:val="Hyperlink"/>
            <w:rFonts w:eastAsia="Calibri"/>
            <w:spacing w:val="-1"/>
          </w:rPr>
          <w:t>Submission</w:t>
        </w:r>
        <w:r w:rsidR="00244234" w:rsidRPr="006A6B35">
          <w:rPr>
            <w:rStyle w:val="Hyperlink"/>
          </w:rPr>
          <w:t xml:space="preserve"> of Assessed Coursework</w:t>
        </w:r>
        <w:r w:rsidR="00244234">
          <w:rPr>
            <w:webHidden/>
          </w:rPr>
          <w:t xml:space="preserve"> </w:t>
        </w:r>
        <w:r w:rsidR="00244234">
          <w:rPr>
            <w:webHidden/>
          </w:rPr>
          <w:tab/>
        </w:r>
        <w:r w:rsidR="00244234">
          <w:rPr>
            <w:webHidden/>
          </w:rPr>
          <w:fldChar w:fldCharType="begin"/>
        </w:r>
        <w:r w:rsidR="00244234">
          <w:rPr>
            <w:webHidden/>
          </w:rPr>
          <w:instrText xml:space="preserve"> PAGEREF _Toc426405568 \h </w:instrText>
        </w:r>
        <w:r w:rsidR="00244234">
          <w:rPr>
            <w:webHidden/>
          </w:rPr>
        </w:r>
        <w:r w:rsidR="00244234">
          <w:rPr>
            <w:webHidden/>
          </w:rPr>
          <w:fldChar w:fldCharType="separate"/>
        </w:r>
        <w:r w:rsidR="00831021">
          <w:rPr>
            <w:webHidden/>
          </w:rPr>
          <w:t>7</w:t>
        </w:r>
        <w:r w:rsidR="00244234">
          <w:rPr>
            <w:webHidden/>
          </w:rPr>
          <w:fldChar w:fldCharType="end"/>
        </w:r>
      </w:hyperlink>
    </w:p>
    <w:p w14:paraId="7BB6ECA8" w14:textId="4C636344" w:rsidR="00244234" w:rsidRDefault="00904E2A">
      <w:pPr>
        <w:pStyle w:val="TOC1"/>
        <w:rPr>
          <w:rFonts w:asciiTheme="minorHAnsi" w:hAnsiTheme="minorHAnsi" w:cstheme="minorBidi"/>
          <w:bCs w:val="0"/>
          <w:sz w:val="22"/>
          <w:szCs w:val="22"/>
        </w:rPr>
      </w:pPr>
      <w:hyperlink w:anchor="_Toc426405569" w:history="1">
        <w:r w:rsidR="00244234" w:rsidRPr="006A6B35">
          <w:rPr>
            <w:rStyle w:val="Hyperlink"/>
          </w:rPr>
          <w:t>8</w:t>
        </w:r>
        <w:r w:rsidR="00244234">
          <w:rPr>
            <w:rFonts w:asciiTheme="minorHAnsi" w:hAnsiTheme="minorHAnsi" w:cstheme="minorBidi"/>
            <w:bCs w:val="0"/>
            <w:sz w:val="22"/>
            <w:szCs w:val="22"/>
          </w:rPr>
          <w:tab/>
        </w:r>
        <w:r w:rsidR="00244234" w:rsidRPr="006A6B35">
          <w:rPr>
            <w:rStyle w:val="Hyperlink"/>
            <w:rFonts w:eastAsia="Calibri"/>
            <w:spacing w:val="-1"/>
          </w:rPr>
          <w:t>Proofreading</w:t>
        </w:r>
        <w:r w:rsidR="00244234" w:rsidRPr="006A6B35">
          <w:rPr>
            <w:rStyle w:val="Hyperlink"/>
          </w:rPr>
          <w:t xml:space="preserve"> of Written Assignments</w:t>
        </w:r>
        <w:r w:rsidR="00244234">
          <w:rPr>
            <w:webHidden/>
          </w:rPr>
          <w:t xml:space="preserve"> </w:t>
        </w:r>
        <w:r w:rsidR="00244234">
          <w:rPr>
            <w:webHidden/>
          </w:rPr>
          <w:tab/>
        </w:r>
        <w:r w:rsidR="00244234">
          <w:rPr>
            <w:webHidden/>
          </w:rPr>
          <w:fldChar w:fldCharType="begin"/>
        </w:r>
        <w:r w:rsidR="00244234">
          <w:rPr>
            <w:webHidden/>
          </w:rPr>
          <w:instrText xml:space="preserve"> PAGEREF _Toc426405569 \h </w:instrText>
        </w:r>
        <w:r w:rsidR="00244234">
          <w:rPr>
            <w:webHidden/>
          </w:rPr>
        </w:r>
        <w:r w:rsidR="00244234">
          <w:rPr>
            <w:webHidden/>
          </w:rPr>
          <w:fldChar w:fldCharType="separate"/>
        </w:r>
        <w:r w:rsidR="00831021">
          <w:rPr>
            <w:webHidden/>
          </w:rPr>
          <w:t>8</w:t>
        </w:r>
        <w:r w:rsidR="00244234">
          <w:rPr>
            <w:webHidden/>
          </w:rPr>
          <w:fldChar w:fldCharType="end"/>
        </w:r>
      </w:hyperlink>
    </w:p>
    <w:p w14:paraId="33A1F06E" w14:textId="1455AC18" w:rsidR="00244234" w:rsidRDefault="00904E2A">
      <w:pPr>
        <w:pStyle w:val="TOC1"/>
        <w:rPr>
          <w:rFonts w:asciiTheme="minorHAnsi" w:hAnsiTheme="minorHAnsi" w:cstheme="minorBidi"/>
          <w:bCs w:val="0"/>
          <w:sz w:val="22"/>
          <w:szCs w:val="22"/>
        </w:rPr>
      </w:pPr>
      <w:hyperlink w:anchor="_Toc426405570" w:history="1">
        <w:r w:rsidR="00244234" w:rsidRPr="006A6B35">
          <w:rPr>
            <w:rStyle w:val="Hyperlink"/>
          </w:rPr>
          <w:t>9</w:t>
        </w:r>
        <w:r w:rsidR="00244234">
          <w:rPr>
            <w:rFonts w:asciiTheme="minorHAnsi" w:hAnsiTheme="minorHAnsi" w:cstheme="minorBidi"/>
            <w:bCs w:val="0"/>
            <w:sz w:val="22"/>
            <w:szCs w:val="22"/>
          </w:rPr>
          <w:tab/>
        </w:r>
        <w:r w:rsidR="00244234" w:rsidRPr="006A6B35">
          <w:rPr>
            <w:rStyle w:val="Hyperlink"/>
            <w:rFonts w:eastAsia="Calibri"/>
            <w:spacing w:val="-1"/>
          </w:rPr>
          <w:t>Examinations</w:t>
        </w:r>
        <w:r w:rsidR="00244234">
          <w:rPr>
            <w:webHidden/>
          </w:rPr>
          <w:t xml:space="preserve"> </w:t>
        </w:r>
        <w:r w:rsidR="00244234">
          <w:rPr>
            <w:webHidden/>
          </w:rPr>
          <w:tab/>
        </w:r>
        <w:r w:rsidR="00244234">
          <w:rPr>
            <w:webHidden/>
          </w:rPr>
          <w:fldChar w:fldCharType="begin"/>
        </w:r>
        <w:r w:rsidR="00244234">
          <w:rPr>
            <w:webHidden/>
          </w:rPr>
          <w:instrText xml:space="preserve"> PAGEREF _Toc426405570 \h </w:instrText>
        </w:r>
        <w:r w:rsidR="00244234">
          <w:rPr>
            <w:webHidden/>
          </w:rPr>
        </w:r>
        <w:r w:rsidR="00244234">
          <w:rPr>
            <w:webHidden/>
          </w:rPr>
          <w:fldChar w:fldCharType="separate"/>
        </w:r>
        <w:r w:rsidR="00831021">
          <w:rPr>
            <w:webHidden/>
          </w:rPr>
          <w:t>8</w:t>
        </w:r>
        <w:r w:rsidR="00244234">
          <w:rPr>
            <w:webHidden/>
          </w:rPr>
          <w:fldChar w:fldCharType="end"/>
        </w:r>
      </w:hyperlink>
    </w:p>
    <w:p w14:paraId="66916820" w14:textId="68D53D52" w:rsidR="00244234" w:rsidRDefault="00904E2A">
      <w:pPr>
        <w:pStyle w:val="TOC1"/>
        <w:rPr>
          <w:rFonts w:asciiTheme="minorHAnsi" w:hAnsiTheme="minorHAnsi" w:cstheme="minorBidi"/>
          <w:bCs w:val="0"/>
          <w:sz w:val="22"/>
          <w:szCs w:val="22"/>
        </w:rPr>
      </w:pPr>
      <w:hyperlink w:anchor="_Toc426405571" w:history="1">
        <w:r w:rsidR="00244234" w:rsidRPr="006A6B35">
          <w:rPr>
            <w:rStyle w:val="Hyperlink"/>
          </w:rPr>
          <w:t>10</w:t>
        </w:r>
        <w:r w:rsidR="00244234">
          <w:rPr>
            <w:rFonts w:asciiTheme="minorHAnsi" w:hAnsiTheme="minorHAnsi" w:cstheme="minorBidi"/>
            <w:bCs w:val="0"/>
            <w:sz w:val="22"/>
            <w:szCs w:val="22"/>
          </w:rPr>
          <w:tab/>
        </w:r>
        <w:r w:rsidR="00244234" w:rsidRPr="006A6B35">
          <w:rPr>
            <w:rStyle w:val="Hyperlink"/>
            <w:rFonts w:eastAsia="Calibri"/>
            <w:spacing w:val="-1"/>
          </w:rPr>
          <w:t>Consideration</w:t>
        </w:r>
        <w:r w:rsidR="00244234" w:rsidRPr="006A6B35">
          <w:rPr>
            <w:rStyle w:val="Hyperlink"/>
          </w:rPr>
          <w:t xml:space="preserve"> of </w:t>
        </w:r>
        <w:r w:rsidR="00DC29F2">
          <w:rPr>
            <w:rStyle w:val="Hyperlink"/>
          </w:rPr>
          <w:t>Extenu</w:t>
        </w:r>
        <w:r w:rsidR="00244234" w:rsidRPr="006A6B35">
          <w:rPr>
            <w:rStyle w:val="Hyperlink"/>
          </w:rPr>
          <w:t>ating Circumstances</w:t>
        </w:r>
        <w:r w:rsidR="00244234">
          <w:rPr>
            <w:webHidden/>
          </w:rPr>
          <w:t xml:space="preserve"> </w:t>
        </w:r>
        <w:r w:rsidR="00244234">
          <w:rPr>
            <w:webHidden/>
          </w:rPr>
          <w:tab/>
        </w:r>
        <w:r w:rsidR="00244234">
          <w:rPr>
            <w:webHidden/>
          </w:rPr>
          <w:fldChar w:fldCharType="begin"/>
        </w:r>
        <w:r w:rsidR="00244234">
          <w:rPr>
            <w:webHidden/>
          </w:rPr>
          <w:instrText xml:space="preserve"> PAGEREF _Toc426405571 \h </w:instrText>
        </w:r>
        <w:r w:rsidR="00244234">
          <w:rPr>
            <w:webHidden/>
          </w:rPr>
        </w:r>
        <w:r w:rsidR="00244234">
          <w:rPr>
            <w:webHidden/>
          </w:rPr>
          <w:fldChar w:fldCharType="separate"/>
        </w:r>
        <w:r w:rsidR="00831021">
          <w:rPr>
            <w:webHidden/>
          </w:rPr>
          <w:t>9</w:t>
        </w:r>
        <w:r w:rsidR="00244234">
          <w:rPr>
            <w:webHidden/>
          </w:rPr>
          <w:fldChar w:fldCharType="end"/>
        </w:r>
      </w:hyperlink>
    </w:p>
    <w:p w14:paraId="73548E5B" w14:textId="747D6E24" w:rsidR="00244234" w:rsidRDefault="00904E2A">
      <w:pPr>
        <w:pStyle w:val="TOC1"/>
        <w:rPr>
          <w:rFonts w:asciiTheme="minorHAnsi" w:hAnsiTheme="minorHAnsi" w:cstheme="minorBidi"/>
          <w:bCs w:val="0"/>
          <w:sz w:val="22"/>
          <w:szCs w:val="22"/>
        </w:rPr>
      </w:pPr>
      <w:hyperlink w:anchor="_Toc426405572" w:history="1">
        <w:r w:rsidR="00244234" w:rsidRPr="006A6B35">
          <w:rPr>
            <w:rStyle w:val="Hyperlink"/>
          </w:rPr>
          <w:t>11</w:t>
        </w:r>
        <w:r w:rsidR="00244234">
          <w:rPr>
            <w:rFonts w:asciiTheme="minorHAnsi" w:hAnsiTheme="minorHAnsi" w:cstheme="minorBidi"/>
            <w:bCs w:val="0"/>
            <w:sz w:val="22"/>
            <w:szCs w:val="22"/>
          </w:rPr>
          <w:tab/>
        </w:r>
        <w:r w:rsidR="00244234" w:rsidRPr="006A6B35">
          <w:rPr>
            <w:rStyle w:val="Hyperlink"/>
            <w:rFonts w:eastAsia="Calibri"/>
            <w:spacing w:val="-1"/>
          </w:rPr>
          <w:t>Marking</w:t>
        </w:r>
        <w:r w:rsidR="00244234">
          <w:rPr>
            <w:webHidden/>
          </w:rPr>
          <w:t xml:space="preserve"> </w:t>
        </w:r>
        <w:r w:rsidR="00244234">
          <w:rPr>
            <w:webHidden/>
          </w:rPr>
          <w:tab/>
        </w:r>
        <w:r w:rsidR="00244234">
          <w:rPr>
            <w:webHidden/>
          </w:rPr>
          <w:fldChar w:fldCharType="begin"/>
        </w:r>
        <w:r w:rsidR="00244234">
          <w:rPr>
            <w:webHidden/>
          </w:rPr>
          <w:instrText xml:space="preserve"> PAGEREF _Toc426405572 \h </w:instrText>
        </w:r>
        <w:r w:rsidR="00244234">
          <w:rPr>
            <w:webHidden/>
          </w:rPr>
        </w:r>
        <w:r w:rsidR="00244234">
          <w:rPr>
            <w:webHidden/>
          </w:rPr>
          <w:fldChar w:fldCharType="separate"/>
        </w:r>
        <w:r w:rsidR="00831021">
          <w:rPr>
            <w:webHidden/>
          </w:rPr>
          <w:t>10</w:t>
        </w:r>
        <w:r w:rsidR="00244234">
          <w:rPr>
            <w:webHidden/>
          </w:rPr>
          <w:fldChar w:fldCharType="end"/>
        </w:r>
      </w:hyperlink>
    </w:p>
    <w:p w14:paraId="0DE62722" w14:textId="4D64971D" w:rsidR="00244234" w:rsidRDefault="00904E2A">
      <w:pPr>
        <w:pStyle w:val="TOC1"/>
        <w:rPr>
          <w:rFonts w:asciiTheme="minorHAnsi" w:hAnsiTheme="minorHAnsi" w:cstheme="minorBidi"/>
          <w:bCs w:val="0"/>
          <w:sz w:val="22"/>
          <w:szCs w:val="22"/>
        </w:rPr>
      </w:pPr>
      <w:hyperlink w:anchor="_Toc426405573" w:history="1">
        <w:r w:rsidR="00244234" w:rsidRPr="006A6B35">
          <w:rPr>
            <w:rStyle w:val="Hyperlink"/>
          </w:rPr>
          <w:t>12</w:t>
        </w:r>
        <w:r w:rsidR="00244234">
          <w:rPr>
            <w:rFonts w:asciiTheme="minorHAnsi" w:hAnsiTheme="minorHAnsi" w:cstheme="minorBidi"/>
            <w:bCs w:val="0"/>
            <w:sz w:val="22"/>
            <w:szCs w:val="22"/>
          </w:rPr>
          <w:tab/>
        </w:r>
        <w:r w:rsidR="00244234" w:rsidRPr="006A6B35">
          <w:rPr>
            <w:rStyle w:val="Hyperlink"/>
            <w:rFonts w:eastAsia="Calibri"/>
            <w:spacing w:val="-1"/>
          </w:rPr>
          <w:t>Marking</w:t>
        </w:r>
        <w:r w:rsidR="00244234" w:rsidRPr="006A6B35">
          <w:rPr>
            <w:rStyle w:val="Hyperlink"/>
          </w:rPr>
          <w:t xml:space="preserve"> Criteria and Pass Mark</w:t>
        </w:r>
        <w:r w:rsidR="00244234">
          <w:rPr>
            <w:webHidden/>
          </w:rPr>
          <w:t xml:space="preserve"> </w:t>
        </w:r>
        <w:r w:rsidR="00244234">
          <w:rPr>
            <w:webHidden/>
          </w:rPr>
          <w:tab/>
        </w:r>
        <w:r w:rsidR="00244234">
          <w:rPr>
            <w:webHidden/>
          </w:rPr>
          <w:fldChar w:fldCharType="begin"/>
        </w:r>
        <w:r w:rsidR="00244234">
          <w:rPr>
            <w:webHidden/>
          </w:rPr>
          <w:instrText xml:space="preserve"> PAGEREF _Toc426405573 \h </w:instrText>
        </w:r>
        <w:r w:rsidR="00244234">
          <w:rPr>
            <w:webHidden/>
          </w:rPr>
        </w:r>
        <w:r w:rsidR="00244234">
          <w:rPr>
            <w:webHidden/>
          </w:rPr>
          <w:fldChar w:fldCharType="separate"/>
        </w:r>
        <w:r w:rsidR="00831021">
          <w:rPr>
            <w:webHidden/>
          </w:rPr>
          <w:t>12</w:t>
        </w:r>
        <w:r w:rsidR="00244234">
          <w:rPr>
            <w:webHidden/>
          </w:rPr>
          <w:fldChar w:fldCharType="end"/>
        </w:r>
      </w:hyperlink>
    </w:p>
    <w:p w14:paraId="5177F062" w14:textId="2F5880BF" w:rsidR="00244234" w:rsidRDefault="00904E2A">
      <w:pPr>
        <w:pStyle w:val="TOC1"/>
        <w:rPr>
          <w:rFonts w:asciiTheme="minorHAnsi" w:hAnsiTheme="minorHAnsi" w:cstheme="minorBidi"/>
          <w:bCs w:val="0"/>
          <w:sz w:val="22"/>
          <w:szCs w:val="22"/>
        </w:rPr>
      </w:pPr>
      <w:hyperlink w:anchor="_Toc426405574" w:history="1">
        <w:r w:rsidR="00244234" w:rsidRPr="006A6B35">
          <w:rPr>
            <w:rStyle w:val="Hyperlink"/>
          </w:rPr>
          <w:t>13</w:t>
        </w:r>
        <w:r w:rsidR="00244234">
          <w:rPr>
            <w:rFonts w:asciiTheme="minorHAnsi" w:hAnsiTheme="minorHAnsi" w:cstheme="minorBidi"/>
            <w:bCs w:val="0"/>
            <w:sz w:val="22"/>
            <w:szCs w:val="22"/>
          </w:rPr>
          <w:tab/>
        </w:r>
        <w:r w:rsidR="00244234" w:rsidRPr="006A6B35">
          <w:rPr>
            <w:rStyle w:val="Hyperlink"/>
            <w:rFonts w:eastAsia="Calibri"/>
            <w:spacing w:val="-1"/>
          </w:rPr>
          <w:t>Compensation</w:t>
        </w:r>
        <w:r w:rsidR="00244234">
          <w:rPr>
            <w:webHidden/>
          </w:rPr>
          <w:t xml:space="preserve"> </w:t>
        </w:r>
        <w:r w:rsidR="00244234">
          <w:rPr>
            <w:webHidden/>
          </w:rPr>
          <w:tab/>
        </w:r>
        <w:r w:rsidR="00244234">
          <w:rPr>
            <w:webHidden/>
          </w:rPr>
          <w:fldChar w:fldCharType="begin"/>
        </w:r>
        <w:r w:rsidR="00244234">
          <w:rPr>
            <w:webHidden/>
          </w:rPr>
          <w:instrText xml:space="preserve"> PAGEREF _Toc426405574 \h </w:instrText>
        </w:r>
        <w:r w:rsidR="00244234">
          <w:rPr>
            <w:webHidden/>
          </w:rPr>
        </w:r>
        <w:r w:rsidR="00244234">
          <w:rPr>
            <w:webHidden/>
          </w:rPr>
          <w:fldChar w:fldCharType="separate"/>
        </w:r>
        <w:r w:rsidR="00831021">
          <w:rPr>
            <w:webHidden/>
          </w:rPr>
          <w:t>12</w:t>
        </w:r>
        <w:r w:rsidR="00244234">
          <w:rPr>
            <w:webHidden/>
          </w:rPr>
          <w:fldChar w:fldCharType="end"/>
        </w:r>
      </w:hyperlink>
    </w:p>
    <w:p w14:paraId="014DBFD0" w14:textId="2061828D" w:rsidR="00244234" w:rsidRDefault="00904E2A">
      <w:pPr>
        <w:pStyle w:val="TOC1"/>
        <w:rPr>
          <w:rFonts w:asciiTheme="minorHAnsi" w:hAnsiTheme="minorHAnsi" w:cstheme="minorBidi"/>
          <w:bCs w:val="0"/>
          <w:sz w:val="22"/>
          <w:szCs w:val="22"/>
        </w:rPr>
      </w:pPr>
      <w:hyperlink w:anchor="_Toc426405575" w:history="1">
        <w:r w:rsidR="00244234" w:rsidRPr="006A6B35">
          <w:rPr>
            <w:rStyle w:val="Hyperlink"/>
          </w:rPr>
          <w:t>14</w:t>
        </w:r>
        <w:r w:rsidR="00244234">
          <w:rPr>
            <w:rFonts w:asciiTheme="minorHAnsi" w:hAnsiTheme="minorHAnsi" w:cstheme="minorBidi"/>
            <w:bCs w:val="0"/>
            <w:sz w:val="22"/>
            <w:szCs w:val="22"/>
          </w:rPr>
          <w:tab/>
        </w:r>
        <w:r w:rsidR="00244234" w:rsidRPr="006A6B35">
          <w:rPr>
            <w:rStyle w:val="Hyperlink"/>
            <w:rFonts w:eastAsia="Calibri"/>
            <w:spacing w:val="-1"/>
          </w:rPr>
          <w:t>Reassessment</w:t>
        </w:r>
        <w:r w:rsidR="00244234">
          <w:rPr>
            <w:webHidden/>
          </w:rPr>
          <w:t xml:space="preserve"> </w:t>
        </w:r>
        <w:r w:rsidR="00244234">
          <w:rPr>
            <w:webHidden/>
          </w:rPr>
          <w:tab/>
        </w:r>
        <w:r w:rsidR="00244234">
          <w:rPr>
            <w:webHidden/>
          </w:rPr>
          <w:fldChar w:fldCharType="begin"/>
        </w:r>
        <w:r w:rsidR="00244234">
          <w:rPr>
            <w:webHidden/>
          </w:rPr>
          <w:instrText xml:space="preserve"> PAGEREF _Toc426405575 \h </w:instrText>
        </w:r>
        <w:r w:rsidR="00244234">
          <w:rPr>
            <w:webHidden/>
          </w:rPr>
        </w:r>
        <w:r w:rsidR="00244234">
          <w:rPr>
            <w:webHidden/>
          </w:rPr>
          <w:fldChar w:fldCharType="separate"/>
        </w:r>
        <w:r w:rsidR="00831021">
          <w:rPr>
            <w:webHidden/>
          </w:rPr>
          <w:t>13</w:t>
        </w:r>
        <w:r w:rsidR="00244234">
          <w:rPr>
            <w:webHidden/>
          </w:rPr>
          <w:fldChar w:fldCharType="end"/>
        </w:r>
      </w:hyperlink>
    </w:p>
    <w:p w14:paraId="1EC44ABB" w14:textId="6697967C" w:rsidR="00244234" w:rsidRDefault="00904E2A">
      <w:pPr>
        <w:pStyle w:val="TOC1"/>
        <w:rPr>
          <w:rFonts w:asciiTheme="minorHAnsi" w:hAnsiTheme="minorHAnsi" w:cstheme="minorBidi"/>
          <w:bCs w:val="0"/>
          <w:sz w:val="22"/>
          <w:szCs w:val="22"/>
        </w:rPr>
      </w:pPr>
      <w:hyperlink w:anchor="_Toc426405576" w:history="1">
        <w:r w:rsidR="00244234" w:rsidRPr="006A6B35">
          <w:rPr>
            <w:rStyle w:val="Hyperlink"/>
          </w:rPr>
          <w:t>15</w:t>
        </w:r>
        <w:r w:rsidR="00244234">
          <w:rPr>
            <w:rFonts w:asciiTheme="minorHAnsi" w:hAnsiTheme="minorHAnsi" w:cstheme="minorBidi"/>
            <w:bCs w:val="0"/>
            <w:sz w:val="22"/>
            <w:szCs w:val="22"/>
          </w:rPr>
          <w:tab/>
        </w:r>
        <w:r w:rsidR="00244234" w:rsidRPr="006A6B35">
          <w:rPr>
            <w:rStyle w:val="Hyperlink"/>
            <w:rFonts w:eastAsia="Calibri"/>
            <w:spacing w:val="-1"/>
          </w:rPr>
          <w:t>Resubmission</w:t>
        </w:r>
        <w:r w:rsidR="00244234" w:rsidRPr="006A6B35">
          <w:rPr>
            <w:rStyle w:val="Hyperlink"/>
          </w:rPr>
          <w:t xml:space="preserve"> of a Master’s Dissertation</w:t>
        </w:r>
        <w:r w:rsidR="00244234">
          <w:rPr>
            <w:webHidden/>
          </w:rPr>
          <w:t xml:space="preserve"> </w:t>
        </w:r>
        <w:r w:rsidR="00244234">
          <w:rPr>
            <w:webHidden/>
          </w:rPr>
          <w:tab/>
        </w:r>
        <w:r w:rsidR="00244234">
          <w:rPr>
            <w:webHidden/>
          </w:rPr>
          <w:fldChar w:fldCharType="begin"/>
        </w:r>
        <w:r w:rsidR="00244234">
          <w:rPr>
            <w:webHidden/>
          </w:rPr>
          <w:instrText xml:space="preserve"> PAGEREF _Toc426405576 \h </w:instrText>
        </w:r>
        <w:r w:rsidR="00244234">
          <w:rPr>
            <w:webHidden/>
          </w:rPr>
        </w:r>
        <w:r w:rsidR="00244234">
          <w:rPr>
            <w:webHidden/>
          </w:rPr>
          <w:fldChar w:fldCharType="separate"/>
        </w:r>
        <w:r w:rsidR="00831021">
          <w:rPr>
            <w:webHidden/>
          </w:rPr>
          <w:t>14</w:t>
        </w:r>
        <w:r w:rsidR="00244234">
          <w:rPr>
            <w:webHidden/>
          </w:rPr>
          <w:fldChar w:fldCharType="end"/>
        </w:r>
      </w:hyperlink>
    </w:p>
    <w:p w14:paraId="6B73BC4D" w14:textId="05EC15E0" w:rsidR="00244234" w:rsidRDefault="00904E2A">
      <w:pPr>
        <w:pStyle w:val="TOC1"/>
        <w:rPr>
          <w:rFonts w:asciiTheme="minorHAnsi" w:hAnsiTheme="minorHAnsi" w:cstheme="minorBidi"/>
          <w:bCs w:val="0"/>
          <w:sz w:val="22"/>
          <w:szCs w:val="22"/>
        </w:rPr>
      </w:pPr>
      <w:hyperlink w:anchor="_Toc426405577" w:history="1">
        <w:r w:rsidR="00244234" w:rsidRPr="006A6B35">
          <w:rPr>
            <w:rStyle w:val="Hyperlink"/>
          </w:rPr>
          <w:t>16</w:t>
        </w:r>
        <w:r w:rsidR="00244234">
          <w:rPr>
            <w:rFonts w:asciiTheme="minorHAnsi" w:hAnsiTheme="minorHAnsi" w:cstheme="minorBidi"/>
            <w:bCs w:val="0"/>
            <w:sz w:val="22"/>
            <w:szCs w:val="22"/>
          </w:rPr>
          <w:tab/>
        </w:r>
        <w:r w:rsidR="00244234" w:rsidRPr="006A6B35">
          <w:rPr>
            <w:rStyle w:val="Hyperlink"/>
            <w:rFonts w:eastAsia="Calibri"/>
            <w:spacing w:val="-1"/>
          </w:rPr>
          <w:t>Feedback</w:t>
        </w:r>
        <w:r w:rsidR="00244234" w:rsidRPr="006A6B35">
          <w:rPr>
            <w:rStyle w:val="Hyperlink"/>
          </w:rPr>
          <w:t xml:space="preserve"> on Assessment</w:t>
        </w:r>
        <w:r w:rsidR="00244234">
          <w:rPr>
            <w:webHidden/>
          </w:rPr>
          <w:t xml:space="preserve"> </w:t>
        </w:r>
        <w:r w:rsidR="00244234">
          <w:rPr>
            <w:webHidden/>
          </w:rPr>
          <w:tab/>
        </w:r>
        <w:r w:rsidR="00244234">
          <w:rPr>
            <w:webHidden/>
          </w:rPr>
          <w:fldChar w:fldCharType="begin"/>
        </w:r>
        <w:r w:rsidR="00244234">
          <w:rPr>
            <w:webHidden/>
          </w:rPr>
          <w:instrText xml:space="preserve"> PAGEREF _Toc426405577 \h </w:instrText>
        </w:r>
        <w:r w:rsidR="00244234">
          <w:rPr>
            <w:webHidden/>
          </w:rPr>
        </w:r>
        <w:r w:rsidR="00244234">
          <w:rPr>
            <w:webHidden/>
          </w:rPr>
          <w:fldChar w:fldCharType="separate"/>
        </w:r>
        <w:r w:rsidR="00831021">
          <w:rPr>
            <w:webHidden/>
          </w:rPr>
          <w:t>14</w:t>
        </w:r>
        <w:r w:rsidR="00244234">
          <w:rPr>
            <w:webHidden/>
          </w:rPr>
          <w:fldChar w:fldCharType="end"/>
        </w:r>
      </w:hyperlink>
    </w:p>
    <w:p w14:paraId="520BCF8B" w14:textId="758A3285" w:rsidR="00244234" w:rsidRDefault="00904E2A">
      <w:pPr>
        <w:pStyle w:val="TOC1"/>
        <w:rPr>
          <w:rFonts w:asciiTheme="minorHAnsi" w:hAnsiTheme="minorHAnsi" w:cstheme="minorBidi"/>
          <w:bCs w:val="0"/>
          <w:sz w:val="22"/>
          <w:szCs w:val="22"/>
        </w:rPr>
      </w:pPr>
      <w:hyperlink w:anchor="_Toc426405578" w:history="1">
        <w:r w:rsidR="00244234" w:rsidRPr="006A6B35">
          <w:rPr>
            <w:rStyle w:val="Hyperlink"/>
          </w:rPr>
          <w:t>17</w:t>
        </w:r>
        <w:r w:rsidR="00244234">
          <w:rPr>
            <w:rFonts w:asciiTheme="minorHAnsi" w:hAnsiTheme="minorHAnsi" w:cstheme="minorBidi"/>
            <w:bCs w:val="0"/>
            <w:sz w:val="22"/>
            <w:szCs w:val="22"/>
          </w:rPr>
          <w:tab/>
        </w:r>
        <w:r w:rsidR="00244234" w:rsidRPr="006A6B35">
          <w:rPr>
            <w:rStyle w:val="Hyperlink"/>
            <w:rFonts w:eastAsia="Calibri"/>
            <w:spacing w:val="-1"/>
          </w:rPr>
          <w:t>Notification</w:t>
        </w:r>
        <w:r w:rsidR="00244234" w:rsidRPr="006A6B35">
          <w:rPr>
            <w:rStyle w:val="Hyperlink"/>
          </w:rPr>
          <w:t xml:space="preserve"> of Final Awards</w:t>
        </w:r>
        <w:r w:rsidR="00244234">
          <w:rPr>
            <w:webHidden/>
          </w:rPr>
          <w:t xml:space="preserve"> </w:t>
        </w:r>
        <w:r w:rsidR="00244234">
          <w:rPr>
            <w:webHidden/>
          </w:rPr>
          <w:tab/>
        </w:r>
        <w:r w:rsidR="00244234">
          <w:rPr>
            <w:webHidden/>
          </w:rPr>
          <w:fldChar w:fldCharType="begin"/>
        </w:r>
        <w:r w:rsidR="00244234">
          <w:rPr>
            <w:webHidden/>
          </w:rPr>
          <w:instrText xml:space="preserve"> PAGEREF _Toc426405578 \h </w:instrText>
        </w:r>
        <w:r w:rsidR="00244234">
          <w:rPr>
            <w:webHidden/>
          </w:rPr>
        </w:r>
        <w:r w:rsidR="00244234">
          <w:rPr>
            <w:webHidden/>
          </w:rPr>
          <w:fldChar w:fldCharType="separate"/>
        </w:r>
        <w:r w:rsidR="00831021">
          <w:rPr>
            <w:webHidden/>
          </w:rPr>
          <w:t>15</w:t>
        </w:r>
        <w:r w:rsidR="00244234">
          <w:rPr>
            <w:webHidden/>
          </w:rPr>
          <w:fldChar w:fldCharType="end"/>
        </w:r>
      </w:hyperlink>
    </w:p>
    <w:p w14:paraId="2A25E994" w14:textId="7701C1A1" w:rsidR="00244234" w:rsidRDefault="00904E2A">
      <w:pPr>
        <w:pStyle w:val="TOC1"/>
        <w:rPr>
          <w:rFonts w:asciiTheme="minorHAnsi" w:hAnsiTheme="minorHAnsi" w:cstheme="minorBidi"/>
          <w:bCs w:val="0"/>
          <w:sz w:val="22"/>
          <w:szCs w:val="22"/>
        </w:rPr>
      </w:pPr>
      <w:hyperlink w:anchor="_Toc426405579" w:history="1">
        <w:r w:rsidR="00244234" w:rsidRPr="006A6B35">
          <w:rPr>
            <w:rStyle w:val="Hyperlink"/>
            <w:rFonts w:eastAsia="Calibri"/>
            <w:spacing w:val="-1"/>
          </w:rPr>
          <w:t>18</w:t>
        </w:r>
        <w:r w:rsidR="00244234">
          <w:rPr>
            <w:rFonts w:asciiTheme="minorHAnsi" w:hAnsiTheme="minorHAnsi" w:cstheme="minorBidi"/>
            <w:bCs w:val="0"/>
            <w:sz w:val="22"/>
            <w:szCs w:val="22"/>
          </w:rPr>
          <w:tab/>
        </w:r>
        <w:r w:rsidR="00244234" w:rsidRPr="006A6B35">
          <w:rPr>
            <w:rStyle w:val="Hyperlink"/>
            <w:rFonts w:eastAsia="Calibri"/>
            <w:spacing w:val="-1"/>
          </w:rPr>
          <w:t>Criteria for Distinction and Merit</w:t>
        </w:r>
        <w:r w:rsidR="00244234">
          <w:rPr>
            <w:webHidden/>
          </w:rPr>
          <w:t xml:space="preserve"> </w:t>
        </w:r>
        <w:r w:rsidR="00244234">
          <w:rPr>
            <w:webHidden/>
          </w:rPr>
          <w:tab/>
        </w:r>
        <w:r w:rsidR="00244234">
          <w:rPr>
            <w:webHidden/>
          </w:rPr>
          <w:fldChar w:fldCharType="begin"/>
        </w:r>
        <w:r w:rsidR="00244234">
          <w:rPr>
            <w:webHidden/>
          </w:rPr>
          <w:instrText xml:space="preserve"> PAGEREF _Toc426405579 \h </w:instrText>
        </w:r>
        <w:r w:rsidR="00244234">
          <w:rPr>
            <w:webHidden/>
          </w:rPr>
        </w:r>
        <w:r w:rsidR="00244234">
          <w:rPr>
            <w:webHidden/>
          </w:rPr>
          <w:fldChar w:fldCharType="separate"/>
        </w:r>
        <w:r w:rsidR="00831021">
          <w:rPr>
            <w:webHidden/>
          </w:rPr>
          <w:t>15</w:t>
        </w:r>
        <w:r w:rsidR="00244234">
          <w:rPr>
            <w:webHidden/>
          </w:rPr>
          <w:fldChar w:fldCharType="end"/>
        </w:r>
      </w:hyperlink>
    </w:p>
    <w:p w14:paraId="0B7EA3B1" w14:textId="35F0D916" w:rsidR="00244234" w:rsidRDefault="00904E2A">
      <w:pPr>
        <w:pStyle w:val="TOC1"/>
        <w:rPr>
          <w:rFonts w:asciiTheme="minorHAnsi" w:hAnsiTheme="minorHAnsi" w:cstheme="minorBidi"/>
          <w:bCs w:val="0"/>
          <w:sz w:val="22"/>
          <w:szCs w:val="22"/>
        </w:rPr>
      </w:pPr>
      <w:hyperlink w:anchor="_Toc426405580" w:history="1">
        <w:r w:rsidR="00244234" w:rsidRPr="006A6B35">
          <w:rPr>
            <w:rStyle w:val="Hyperlink"/>
            <w:rFonts w:eastAsia="Calibri"/>
            <w:spacing w:val="-1"/>
          </w:rPr>
          <w:t>19</w:t>
        </w:r>
        <w:r w:rsidR="00244234">
          <w:rPr>
            <w:rFonts w:asciiTheme="minorHAnsi" w:hAnsiTheme="minorHAnsi" w:cstheme="minorBidi"/>
            <w:bCs w:val="0"/>
            <w:sz w:val="22"/>
            <w:szCs w:val="22"/>
          </w:rPr>
          <w:tab/>
        </w:r>
        <w:r w:rsidR="00244234" w:rsidRPr="006A6B35">
          <w:rPr>
            <w:rStyle w:val="Hyperlink"/>
            <w:rFonts w:eastAsia="Calibri"/>
            <w:spacing w:val="-1"/>
          </w:rPr>
          <w:t>Academic appeals</w:t>
        </w:r>
        <w:r w:rsidR="00244234">
          <w:rPr>
            <w:webHidden/>
          </w:rPr>
          <w:t xml:space="preserve"> </w:t>
        </w:r>
        <w:r w:rsidR="00244234">
          <w:rPr>
            <w:webHidden/>
          </w:rPr>
          <w:tab/>
        </w:r>
        <w:r w:rsidR="00244234">
          <w:rPr>
            <w:webHidden/>
          </w:rPr>
          <w:fldChar w:fldCharType="begin"/>
        </w:r>
        <w:r w:rsidR="00244234">
          <w:rPr>
            <w:webHidden/>
          </w:rPr>
          <w:instrText xml:space="preserve"> PAGEREF _Toc426405580 \h </w:instrText>
        </w:r>
        <w:r w:rsidR="00244234">
          <w:rPr>
            <w:webHidden/>
          </w:rPr>
        </w:r>
        <w:r w:rsidR="00244234">
          <w:rPr>
            <w:webHidden/>
          </w:rPr>
          <w:fldChar w:fldCharType="separate"/>
        </w:r>
        <w:r w:rsidR="00831021">
          <w:rPr>
            <w:webHidden/>
          </w:rPr>
          <w:t>16</w:t>
        </w:r>
        <w:r w:rsidR="00244234">
          <w:rPr>
            <w:webHidden/>
          </w:rPr>
          <w:fldChar w:fldCharType="end"/>
        </w:r>
      </w:hyperlink>
    </w:p>
    <w:p w14:paraId="145A7760" w14:textId="6398D46D" w:rsidR="00244234" w:rsidRDefault="00904E2A">
      <w:pPr>
        <w:pStyle w:val="TOC1"/>
        <w:rPr>
          <w:rFonts w:asciiTheme="minorHAnsi" w:hAnsiTheme="minorHAnsi" w:cstheme="minorBidi"/>
          <w:bCs w:val="0"/>
          <w:sz w:val="22"/>
          <w:szCs w:val="22"/>
        </w:rPr>
      </w:pPr>
      <w:hyperlink w:anchor="_Toc426405581" w:history="1">
        <w:r w:rsidR="00244234" w:rsidRPr="006A6B35">
          <w:rPr>
            <w:rStyle w:val="Hyperlink"/>
            <w:rFonts w:eastAsia="Calibri"/>
            <w:spacing w:val="-1"/>
          </w:rPr>
          <w:t>20</w:t>
        </w:r>
        <w:r w:rsidR="00244234">
          <w:rPr>
            <w:rFonts w:asciiTheme="minorHAnsi" w:hAnsiTheme="minorHAnsi" w:cstheme="minorBidi"/>
            <w:bCs w:val="0"/>
            <w:sz w:val="22"/>
            <w:szCs w:val="22"/>
          </w:rPr>
          <w:tab/>
        </w:r>
        <w:r w:rsidR="00244234" w:rsidRPr="006A6B35">
          <w:rPr>
            <w:rStyle w:val="Hyperlink"/>
            <w:rFonts w:eastAsia="Calibri"/>
            <w:spacing w:val="-1"/>
          </w:rPr>
          <w:t>Retention of Exams Scripts and Coursework</w:t>
        </w:r>
        <w:r w:rsidR="00244234">
          <w:rPr>
            <w:webHidden/>
          </w:rPr>
          <w:t xml:space="preserve"> </w:t>
        </w:r>
        <w:r w:rsidR="00244234">
          <w:rPr>
            <w:webHidden/>
          </w:rPr>
          <w:tab/>
        </w:r>
        <w:r w:rsidR="00244234">
          <w:rPr>
            <w:webHidden/>
          </w:rPr>
          <w:fldChar w:fldCharType="begin"/>
        </w:r>
        <w:r w:rsidR="00244234">
          <w:rPr>
            <w:webHidden/>
          </w:rPr>
          <w:instrText xml:space="preserve"> PAGEREF _Toc426405581 \h </w:instrText>
        </w:r>
        <w:r w:rsidR="00244234">
          <w:rPr>
            <w:webHidden/>
          </w:rPr>
        </w:r>
        <w:r w:rsidR="00244234">
          <w:rPr>
            <w:webHidden/>
          </w:rPr>
          <w:fldChar w:fldCharType="separate"/>
        </w:r>
        <w:r w:rsidR="00831021">
          <w:rPr>
            <w:webHidden/>
          </w:rPr>
          <w:t>16</w:t>
        </w:r>
        <w:r w:rsidR="00244234">
          <w:rPr>
            <w:webHidden/>
          </w:rPr>
          <w:fldChar w:fldCharType="end"/>
        </w:r>
      </w:hyperlink>
    </w:p>
    <w:p w14:paraId="6DA24895" w14:textId="7D67DF07" w:rsidR="00244234" w:rsidRDefault="00904E2A">
      <w:pPr>
        <w:pStyle w:val="TOC1"/>
        <w:rPr>
          <w:rFonts w:asciiTheme="minorHAnsi" w:hAnsiTheme="minorHAnsi" w:cstheme="minorBidi"/>
          <w:bCs w:val="0"/>
          <w:sz w:val="22"/>
          <w:szCs w:val="22"/>
        </w:rPr>
      </w:pPr>
      <w:hyperlink w:anchor="_Toc426405582" w:history="1">
        <w:r w:rsidR="00244234" w:rsidRPr="006A6B35">
          <w:rPr>
            <w:rStyle w:val="Hyperlink"/>
          </w:rPr>
          <w:t>21</w:t>
        </w:r>
        <w:r w:rsidR="00244234">
          <w:rPr>
            <w:rFonts w:asciiTheme="minorHAnsi" w:hAnsiTheme="minorHAnsi" w:cstheme="minorBidi"/>
            <w:bCs w:val="0"/>
            <w:sz w:val="22"/>
            <w:szCs w:val="22"/>
          </w:rPr>
          <w:tab/>
        </w:r>
        <w:r w:rsidR="00244234" w:rsidRPr="006A6B35">
          <w:rPr>
            <w:rStyle w:val="Hyperlink"/>
            <w:rFonts w:eastAsia="Calibri"/>
            <w:spacing w:val="-1"/>
          </w:rPr>
          <w:t>Boards</w:t>
        </w:r>
        <w:r w:rsidR="00244234" w:rsidRPr="006A6B35">
          <w:rPr>
            <w:rStyle w:val="Hyperlink"/>
          </w:rPr>
          <w:t xml:space="preserve"> of Examiners</w:t>
        </w:r>
        <w:r w:rsidR="00244234">
          <w:rPr>
            <w:webHidden/>
          </w:rPr>
          <w:t xml:space="preserve"> </w:t>
        </w:r>
        <w:r w:rsidR="00244234">
          <w:rPr>
            <w:webHidden/>
          </w:rPr>
          <w:tab/>
        </w:r>
        <w:r w:rsidR="00244234">
          <w:rPr>
            <w:webHidden/>
          </w:rPr>
          <w:fldChar w:fldCharType="begin"/>
        </w:r>
        <w:r w:rsidR="00244234">
          <w:rPr>
            <w:webHidden/>
          </w:rPr>
          <w:instrText xml:space="preserve"> PAGEREF _Toc426405582 \h </w:instrText>
        </w:r>
        <w:r w:rsidR="00244234">
          <w:rPr>
            <w:webHidden/>
          </w:rPr>
        </w:r>
        <w:r w:rsidR="00244234">
          <w:rPr>
            <w:webHidden/>
          </w:rPr>
          <w:fldChar w:fldCharType="separate"/>
        </w:r>
        <w:r w:rsidR="00831021">
          <w:rPr>
            <w:webHidden/>
          </w:rPr>
          <w:t>16</w:t>
        </w:r>
        <w:r w:rsidR="00244234">
          <w:rPr>
            <w:webHidden/>
          </w:rPr>
          <w:fldChar w:fldCharType="end"/>
        </w:r>
      </w:hyperlink>
    </w:p>
    <w:p w14:paraId="05C76A81" w14:textId="0C8D6084" w:rsidR="00244234" w:rsidRDefault="00904E2A">
      <w:pPr>
        <w:pStyle w:val="TOC1"/>
        <w:rPr>
          <w:rFonts w:asciiTheme="minorHAnsi" w:hAnsiTheme="minorHAnsi" w:cstheme="minorBidi"/>
          <w:bCs w:val="0"/>
          <w:sz w:val="22"/>
          <w:szCs w:val="22"/>
        </w:rPr>
      </w:pPr>
      <w:hyperlink w:anchor="_Toc426405583" w:history="1">
        <w:r w:rsidR="00244234" w:rsidRPr="006A6B35">
          <w:rPr>
            <w:rStyle w:val="Hyperlink"/>
          </w:rPr>
          <w:t>22</w:t>
        </w:r>
        <w:r w:rsidR="00244234">
          <w:rPr>
            <w:rFonts w:asciiTheme="minorHAnsi" w:hAnsiTheme="minorHAnsi" w:cstheme="minorBidi"/>
            <w:bCs w:val="0"/>
            <w:sz w:val="22"/>
            <w:szCs w:val="22"/>
          </w:rPr>
          <w:tab/>
        </w:r>
        <w:r w:rsidR="00244234" w:rsidRPr="006A6B35">
          <w:rPr>
            <w:rStyle w:val="Hyperlink"/>
            <w:rFonts w:eastAsia="Calibri"/>
            <w:spacing w:val="-1"/>
          </w:rPr>
          <w:t>External</w:t>
        </w:r>
        <w:r w:rsidR="00244234" w:rsidRPr="006A6B35">
          <w:rPr>
            <w:rStyle w:val="Hyperlink"/>
          </w:rPr>
          <w:t xml:space="preserve"> Examiners</w:t>
        </w:r>
        <w:r w:rsidR="00244234">
          <w:rPr>
            <w:webHidden/>
          </w:rPr>
          <w:t xml:space="preserve"> </w:t>
        </w:r>
        <w:r w:rsidR="00244234">
          <w:rPr>
            <w:webHidden/>
          </w:rPr>
          <w:tab/>
        </w:r>
        <w:r w:rsidR="00244234">
          <w:rPr>
            <w:webHidden/>
          </w:rPr>
          <w:fldChar w:fldCharType="begin"/>
        </w:r>
        <w:r w:rsidR="00244234">
          <w:rPr>
            <w:webHidden/>
          </w:rPr>
          <w:instrText xml:space="preserve"> PAGEREF _Toc426405583 \h </w:instrText>
        </w:r>
        <w:r w:rsidR="00244234">
          <w:rPr>
            <w:webHidden/>
          </w:rPr>
        </w:r>
        <w:r w:rsidR="00244234">
          <w:rPr>
            <w:webHidden/>
          </w:rPr>
          <w:fldChar w:fldCharType="separate"/>
        </w:r>
        <w:r w:rsidR="00831021">
          <w:rPr>
            <w:webHidden/>
          </w:rPr>
          <w:t>17</w:t>
        </w:r>
        <w:r w:rsidR="00244234">
          <w:rPr>
            <w:webHidden/>
          </w:rPr>
          <w:fldChar w:fldCharType="end"/>
        </w:r>
      </w:hyperlink>
    </w:p>
    <w:p w14:paraId="4E4D7968" w14:textId="23FAF1E7" w:rsidR="00244234" w:rsidRDefault="00904E2A">
      <w:pPr>
        <w:pStyle w:val="TOC1"/>
        <w:rPr>
          <w:rFonts w:asciiTheme="minorHAnsi" w:hAnsiTheme="minorHAnsi" w:cstheme="minorBidi"/>
          <w:bCs w:val="0"/>
          <w:sz w:val="22"/>
          <w:szCs w:val="22"/>
        </w:rPr>
      </w:pPr>
      <w:hyperlink w:anchor="_Toc426405584" w:history="1">
        <w:r w:rsidR="00244234" w:rsidRPr="006A6B35">
          <w:rPr>
            <w:rStyle w:val="Hyperlink"/>
          </w:rPr>
          <w:t>23</w:t>
        </w:r>
        <w:r w:rsidR="00244234">
          <w:rPr>
            <w:rFonts w:asciiTheme="minorHAnsi" w:hAnsiTheme="minorHAnsi" w:cstheme="minorBidi"/>
            <w:bCs w:val="0"/>
            <w:sz w:val="22"/>
            <w:szCs w:val="22"/>
          </w:rPr>
          <w:tab/>
        </w:r>
        <w:r w:rsidR="00244234" w:rsidRPr="006A6B35">
          <w:rPr>
            <w:rStyle w:val="Hyperlink"/>
            <w:rFonts w:eastAsia="Calibri"/>
            <w:spacing w:val="-1"/>
          </w:rPr>
          <w:t>Review</w:t>
        </w:r>
        <w:r w:rsidR="00244234" w:rsidRPr="006A6B35">
          <w:rPr>
            <w:rStyle w:val="Hyperlink"/>
          </w:rPr>
          <w:t xml:space="preserve"> of Assessment Strategies</w:t>
        </w:r>
        <w:r w:rsidR="00244234">
          <w:rPr>
            <w:webHidden/>
          </w:rPr>
          <w:t xml:space="preserve"> </w:t>
        </w:r>
        <w:r w:rsidR="00244234">
          <w:rPr>
            <w:webHidden/>
          </w:rPr>
          <w:tab/>
        </w:r>
        <w:r w:rsidR="00244234">
          <w:rPr>
            <w:webHidden/>
          </w:rPr>
          <w:fldChar w:fldCharType="begin"/>
        </w:r>
        <w:r w:rsidR="00244234">
          <w:rPr>
            <w:webHidden/>
          </w:rPr>
          <w:instrText xml:space="preserve"> PAGEREF _Toc426405584 \h </w:instrText>
        </w:r>
        <w:r w:rsidR="00244234">
          <w:rPr>
            <w:webHidden/>
          </w:rPr>
        </w:r>
        <w:r w:rsidR="00244234">
          <w:rPr>
            <w:webHidden/>
          </w:rPr>
          <w:fldChar w:fldCharType="separate"/>
        </w:r>
        <w:r w:rsidR="00831021">
          <w:rPr>
            <w:webHidden/>
          </w:rPr>
          <w:t>17</w:t>
        </w:r>
        <w:r w:rsidR="00244234">
          <w:rPr>
            <w:webHidden/>
          </w:rPr>
          <w:fldChar w:fldCharType="end"/>
        </w:r>
      </w:hyperlink>
    </w:p>
    <w:p w14:paraId="4B66920E" w14:textId="0FD86379" w:rsidR="00ED4A53" w:rsidRPr="00D23717" w:rsidRDefault="00876075" w:rsidP="00D97960">
      <w:pPr>
        <w:pStyle w:val="CoPborderheading"/>
        <w:numPr>
          <w:ilvl w:val="0"/>
          <w:numId w:val="5"/>
        </w:numPr>
        <w:rPr>
          <w:rFonts w:hint="eastAsia"/>
        </w:rPr>
      </w:pPr>
      <w:r w:rsidRPr="00846FB2">
        <w:rPr>
          <w:rFonts w:ascii="Arial" w:hAnsi="Arial"/>
          <w:sz w:val="28"/>
        </w:rPr>
        <w:fldChar w:fldCharType="end"/>
      </w:r>
      <w:bookmarkStart w:id="0" w:name="_Toc342395970"/>
      <w:bookmarkStart w:id="1" w:name="_Toc426405562"/>
      <w:r w:rsidR="004D4BC4" w:rsidRPr="00D97960">
        <w:rPr>
          <w:rFonts w:eastAsia="Calibri"/>
          <w:spacing w:val="-1"/>
        </w:rPr>
        <w:t>I</w:t>
      </w:r>
      <w:r w:rsidR="00981629" w:rsidRPr="00D97960">
        <w:rPr>
          <w:rFonts w:eastAsia="Calibri"/>
          <w:spacing w:val="-1"/>
        </w:rPr>
        <w:t>ntroduction</w:t>
      </w:r>
      <w:r w:rsidR="00981629" w:rsidRPr="00D23717">
        <w:t xml:space="preserve"> </w:t>
      </w:r>
      <w:r w:rsidR="00E92B0F" w:rsidRPr="00D23717">
        <w:t xml:space="preserve">and </w:t>
      </w:r>
      <w:r w:rsidR="00E92B0F" w:rsidRPr="00BF4223">
        <w:t>Context</w:t>
      </w:r>
      <w:bookmarkEnd w:id="0"/>
      <w:bookmarkEnd w:id="1"/>
      <w:r w:rsidR="00ED4A53" w:rsidRPr="00D23717">
        <w:t xml:space="preserve"> </w:t>
      </w:r>
    </w:p>
    <w:p w14:paraId="38FE1188" w14:textId="66AA4752" w:rsidR="009554F1" w:rsidRPr="00067E24" w:rsidRDefault="00067E24" w:rsidP="00244234">
      <w:pPr>
        <w:pStyle w:val="CoPNumberlevel1"/>
      </w:pPr>
      <w:bookmarkStart w:id="2" w:name="_Toc342395969"/>
      <w:r w:rsidRPr="00067E24">
        <w:t xml:space="preserve">This Code of Practice aims </w:t>
      </w:r>
      <w:r w:rsidR="009554F1" w:rsidRPr="00067E24">
        <w:t xml:space="preserve">to inform staff and students of </w:t>
      </w:r>
      <w:r w:rsidR="00FC2294">
        <w:t xml:space="preserve">the </w:t>
      </w:r>
      <w:r w:rsidR="009554F1" w:rsidRPr="00067E24">
        <w:t>L</w:t>
      </w:r>
      <w:r w:rsidR="00FC2294">
        <w:t xml:space="preserve">iverpool </w:t>
      </w:r>
      <w:r w:rsidR="009554F1" w:rsidRPr="00067E24">
        <w:t>S</w:t>
      </w:r>
      <w:r w:rsidR="00FC2294">
        <w:t xml:space="preserve">chool of Tropical </w:t>
      </w:r>
      <w:r w:rsidR="009554F1" w:rsidRPr="00067E24">
        <w:t>M</w:t>
      </w:r>
      <w:r w:rsidR="00FC2294">
        <w:t>edicine (LSTM)</w:t>
      </w:r>
      <w:r w:rsidR="009554F1" w:rsidRPr="00067E24">
        <w:t>, as well as individuals from outside the organisation, such as external examiners and external reviewers</w:t>
      </w:r>
      <w:r w:rsidR="00067BA0" w:rsidRPr="00067E24">
        <w:t xml:space="preserve"> about LSTM’s principles and strategy in relation to assessment of students and giving feedback on assessment.</w:t>
      </w:r>
    </w:p>
    <w:p w14:paraId="05F35E35" w14:textId="7FE6CA5A" w:rsidR="00F426A4" w:rsidRPr="00D97960" w:rsidRDefault="009554F1" w:rsidP="00244234">
      <w:pPr>
        <w:pStyle w:val="CoPNumberlevel1"/>
      </w:pPr>
      <w:r w:rsidRPr="00D97960">
        <w:t>LSTM needs to be able to assure itself that the standards of its awards are consistent with the general expectations for such awards within the higher education sector nationally and internationally, and that actual student achievement is co</w:t>
      </w:r>
      <w:r w:rsidR="00237D1E">
        <w:t>nsistent with those standards.</w:t>
      </w:r>
    </w:p>
    <w:p w14:paraId="6471DBE3" w14:textId="4AC92364" w:rsidR="00974FCC" w:rsidRPr="003428C4" w:rsidRDefault="00F426A4" w:rsidP="00244234">
      <w:pPr>
        <w:pStyle w:val="CoPNumberlevel1"/>
      </w:pPr>
      <w:r w:rsidRPr="003428C4">
        <w:rPr>
          <w:rFonts w:eastAsia="Calibri"/>
          <w:spacing w:val="-1"/>
        </w:rPr>
        <w:t>This</w:t>
      </w:r>
      <w:r w:rsidRPr="001D7DA9">
        <w:t xml:space="preserve"> Code of Practice </w:t>
      </w:r>
      <w:r w:rsidR="009554F1" w:rsidRPr="001D7DA9">
        <w:t xml:space="preserve">uses as a reference point the Quality Assurance Agency (QAA) </w:t>
      </w:r>
      <w:r w:rsidR="009554F1" w:rsidRPr="001D7DA9">
        <w:rPr>
          <w:i/>
        </w:rPr>
        <w:t xml:space="preserve">Framework for Higher Education Qualifications in England, Wales and Northern Ireland.  </w:t>
      </w:r>
      <w:r w:rsidRPr="0060135B">
        <w:t xml:space="preserve">It is set within the context </w:t>
      </w:r>
      <w:r w:rsidR="0003403D" w:rsidRPr="0060135B">
        <w:t>of the UK Quality Code for Higher Education Ch</w:t>
      </w:r>
      <w:r w:rsidRPr="0060135B">
        <w:t>apter B6</w:t>
      </w:r>
      <w:r w:rsidR="00067E24">
        <w:t xml:space="preserve"> (</w:t>
      </w:r>
      <w:r w:rsidR="0003403D" w:rsidRPr="0060135B">
        <w:t>Assessment of Students and the Recognition of Prior Learning</w:t>
      </w:r>
      <w:r w:rsidR="00067E24">
        <w:t xml:space="preserve">, </w:t>
      </w:r>
      <w:r w:rsidR="0003403D" w:rsidRPr="0060135B">
        <w:t>Oct</w:t>
      </w:r>
      <w:r w:rsidR="00067E24">
        <w:t xml:space="preserve">ober </w:t>
      </w:r>
      <w:r w:rsidR="0003403D" w:rsidRPr="0060135B">
        <w:t>2013).</w:t>
      </w:r>
    </w:p>
    <w:p w14:paraId="616ACEC7" w14:textId="4062E782" w:rsidR="00F76977" w:rsidRPr="009554F1" w:rsidRDefault="00067149" w:rsidP="00244234">
      <w:pPr>
        <w:pStyle w:val="CoPNumberlevel1"/>
      </w:pPr>
      <w:r w:rsidRPr="003428C4">
        <w:rPr>
          <w:rFonts w:eastAsia="Calibri"/>
          <w:spacing w:val="-1"/>
        </w:rPr>
        <w:t>LSTM</w:t>
      </w:r>
      <w:r>
        <w:t xml:space="preserve"> employs a variety of assessment methods, and students are provided with </w:t>
      </w:r>
      <w:r w:rsidRPr="00D97960">
        <w:rPr>
          <w:rFonts w:eastAsia="Calibri"/>
          <w:spacing w:val="-1"/>
        </w:rPr>
        <w:t>feedback</w:t>
      </w:r>
      <w:r>
        <w:t xml:space="preserve"> on all assessments undertaken in order to develop their skills and improve future performance.  Assessment enables the assessor to evaluate the student’s knowledge and understanding of what they have been taught or gained through self-directed learning and to grade work accordingly.</w:t>
      </w:r>
      <w:r w:rsidRPr="009554F1">
        <w:t xml:space="preserve"> </w:t>
      </w:r>
      <w:r w:rsidR="00BE231D">
        <w:t>Staff are also enabled to evaluate the effectiveness of their teaching.</w:t>
      </w:r>
    </w:p>
    <w:p w14:paraId="0BB7BF6E" w14:textId="77777777" w:rsidR="00287DBF" w:rsidRPr="0081768F" w:rsidRDefault="00287DBF" w:rsidP="00244234">
      <w:pPr>
        <w:pStyle w:val="CoPNumberlevel1"/>
      </w:pPr>
      <w:r w:rsidRPr="00FB00E9">
        <w:rPr>
          <w:rFonts w:eastAsia="Calibri"/>
          <w:spacing w:val="-1"/>
        </w:rPr>
        <w:t>Related</w:t>
      </w:r>
      <w:r w:rsidRPr="0081768F">
        <w:t xml:space="preserve"> documents are:</w:t>
      </w:r>
    </w:p>
    <w:p w14:paraId="44736227" w14:textId="1740DCFD" w:rsidR="009823DC" w:rsidRDefault="009823DC" w:rsidP="00FC2294">
      <w:pPr>
        <w:pStyle w:val="CoPbullet"/>
      </w:pPr>
      <w:r>
        <w:t xml:space="preserve">Regulations for </w:t>
      </w:r>
      <w:r w:rsidR="00067E24">
        <w:t>Postgraduate T</w:t>
      </w:r>
      <w:r>
        <w:t xml:space="preserve">aught </w:t>
      </w:r>
      <w:r w:rsidR="00067E24">
        <w:t>P</w:t>
      </w:r>
      <w:r>
        <w:t xml:space="preserve">rogrammes </w:t>
      </w:r>
    </w:p>
    <w:p w14:paraId="3B0F5A2C" w14:textId="2EF81945" w:rsidR="003740C5" w:rsidRDefault="003740C5" w:rsidP="00FC2294">
      <w:pPr>
        <w:pStyle w:val="CoPbullet"/>
      </w:pPr>
      <w:r w:rsidRPr="0081768F">
        <w:t xml:space="preserve">Code of Practice on </w:t>
      </w:r>
      <w:r w:rsidR="00067E24">
        <w:t>Monitoring Student Progress</w:t>
      </w:r>
      <w:r w:rsidR="00BD5650">
        <w:t xml:space="preserve"> and the Conduct of </w:t>
      </w:r>
      <w:r w:rsidR="00BE231D">
        <w:t>Boards of Examiners</w:t>
      </w:r>
    </w:p>
    <w:p w14:paraId="626D7434" w14:textId="4A759603" w:rsidR="00BD5650" w:rsidRDefault="00BD5650" w:rsidP="00FC2294">
      <w:pPr>
        <w:pStyle w:val="CoPbullet"/>
      </w:pPr>
      <w:r>
        <w:t>Code of Practice on External Examining</w:t>
      </w:r>
      <w:r w:rsidR="00B42460">
        <w:t xml:space="preserve"> of Taught Programmes</w:t>
      </w:r>
    </w:p>
    <w:p w14:paraId="380BD91C" w14:textId="3994D82C" w:rsidR="00DE3148" w:rsidRPr="0081768F" w:rsidRDefault="00DE3148" w:rsidP="00FC2294">
      <w:pPr>
        <w:pStyle w:val="CoPbullet"/>
      </w:pPr>
      <w:r>
        <w:t>Code of Practice on Complaints and Appeals</w:t>
      </w:r>
    </w:p>
    <w:p w14:paraId="1E2672E1" w14:textId="4411EA6B" w:rsidR="001154BD" w:rsidRDefault="001154BD" w:rsidP="00FC2294">
      <w:pPr>
        <w:pStyle w:val="CoPbullet"/>
      </w:pPr>
      <w:r>
        <w:t>Code of Practice on Academic Integrity</w:t>
      </w:r>
    </w:p>
    <w:p w14:paraId="5A11C4C9" w14:textId="77777777" w:rsidR="00FC2294" w:rsidRDefault="00FC2294" w:rsidP="00FC2294">
      <w:pPr>
        <w:pStyle w:val="CoPbullet"/>
      </w:pPr>
      <w:r w:rsidRPr="00FC2294">
        <w:t xml:space="preserve">Code of Practice on the Design, Approval, Monitoring and Review of Taught Programmes </w:t>
      </w:r>
    </w:p>
    <w:p w14:paraId="1E35D106" w14:textId="4A505782" w:rsidR="00DE3148" w:rsidRDefault="00DE3148" w:rsidP="00FC2294">
      <w:pPr>
        <w:pStyle w:val="CoPbullet"/>
      </w:pPr>
      <w:r>
        <w:t>Code of Practice on S</w:t>
      </w:r>
      <w:r w:rsidR="006F7B63">
        <w:t>tudent Support and Welfare</w:t>
      </w:r>
    </w:p>
    <w:p w14:paraId="382F0B76" w14:textId="76B735FF" w:rsidR="00287DBF" w:rsidRPr="0081768F" w:rsidRDefault="00A25B5E" w:rsidP="00FC2294">
      <w:pPr>
        <w:pStyle w:val="CoPbullet"/>
      </w:pPr>
      <w:r>
        <w:t xml:space="preserve">Procedure for Double Marking and </w:t>
      </w:r>
      <w:r w:rsidR="00067E24">
        <w:t>M</w:t>
      </w:r>
      <w:r w:rsidR="00287DBF" w:rsidRPr="0081768F">
        <w:t>oderation</w:t>
      </w:r>
      <w:r w:rsidR="00067E24" w:rsidRPr="00067E24">
        <w:t xml:space="preserve"> </w:t>
      </w:r>
      <w:r w:rsidR="00067E24" w:rsidRPr="0093643F">
        <w:t>of Taught Postgraduate Assessments</w:t>
      </w:r>
    </w:p>
    <w:p w14:paraId="43605CFC" w14:textId="7A300D4C" w:rsidR="00A84CBC" w:rsidRDefault="00067E24" w:rsidP="00FC2294">
      <w:pPr>
        <w:pStyle w:val="CoPbullet"/>
      </w:pPr>
      <w:r>
        <w:t xml:space="preserve">Procedure for </w:t>
      </w:r>
      <w:r w:rsidR="00A84CBC" w:rsidRPr="009823DC">
        <w:t>Provision of Feedback to Students</w:t>
      </w:r>
    </w:p>
    <w:p w14:paraId="151C85AE" w14:textId="07B9AB12" w:rsidR="00D72C5D" w:rsidRDefault="00D72C5D" w:rsidP="00FC2294">
      <w:pPr>
        <w:pStyle w:val="CoPbullet"/>
      </w:pPr>
      <w:r>
        <w:t xml:space="preserve">Procedure for Dealing with </w:t>
      </w:r>
      <w:r w:rsidR="006F7B63">
        <w:t xml:space="preserve">Extenuating </w:t>
      </w:r>
      <w:r>
        <w:t>Circumstances</w:t>
      </w:r>
    </w:p>
    <w:p w14:paraId="03F7ED94" w14:textId="5961F572" w:rsidR="00DF594E" w:rsidRDefault="00DF594E" w:rsidP="00FC2294">
      <w:pPr>
        <w:pStyle w:val="CoPbullet"/>
      </w:pPr>
      <w:r>
        <w:t>Procedure for the Conduct of Examinations</w:t>
      </w:r>
    </w:p>
    <w:p w14:paraId="26B645B5" w14:textId="763F609E" w:rsidR="00B42460" w:rsidRDefault="00A25B5E" w:rsidP="00FC2294">
      <w:pPr>
        <w:pStyle w:val="CoPbullet"/>
      </w:pPr>
      <w:r>
        <w:t>Procedure for the Verification of E</w:t>
      </w:r>
      <w:r w:rsidR="00B42460">
        <w:t>xaminations</w:t>
      </w:r>
    </w:p>
    <w:p w14:paraId="7B3E7909" w14:textId="5C0DFC36" w:rsidR="00B42460" w:rsidRDefault="006023B5" w:rsidP="00FC2294">
      <w:pPr>
        <w:pStyle w:val="CoPbullet"/>
      </w:pPr>
      <w:r>
        <w:lastRenderedPageBreak/>
        <w:t>Procedure for D</w:t>
      </w:r>
      <w:r w:rsidR="008E19B5">
        <w:t xml:space="preserve">ealing with </w:t>
      </w:r>
      <w:r w:rsidR="00B42460">
        <w:t xml:space="preserve">Academic Appeals </w:t>
      </w:r>
      <w:r w:rsidR="008E19B5">
        <w:t>(Taught Programmes)</w:t>
      </w:r>
    </w:p>
    <w:p w14:paraId="7210EB3E" w14:textId="2C6B48EF" w:rsidR="008E19B5" w:rsidRDefault="006023B5" w:rsidP="00FC2294">
      <w:pPr>
        <w:pStyle w:val="CoPbullet"/>
      </w:pPr>
      <w:r>
        <w:t>Procedure for D</w:t>
      </w:r>
      <w:r w:rsidR="008E19B5">
        <w:t>ealing with Academic Appeals (Research Programmes)</w:t>
      </w:r>
    </w:p>
    <w:p w14:paraId="3FD382EB" w14:textId="1E5651B1" w:rsidR="00402D4E" w:rsidRDefault="00616AD9" w:rsidP="00FC2294">
      <w:pPr>
        <w:pStyle w:val="CoPbullet"/>
      </w:pPr>
      <w:r>
        <w:t xml:space="preserve">Guidelines on </w:t>
      </w:r>
      <w:r w:rsidR="00402D4E">
        <w:t xml:space="preserve">the Use of </w:t>
      </w:r>
      <w:proofErr w:type="spellStart"/>
      <w:r w:rsidR="00402D4E">
        <w:t>Proofreaders</w:t>
      </w:r>
      <w:proofErr w:type="spellEnd"/>
    </w:p>
    <w:p w14:paraId="2DA1F16A" w14:textId="32276978" w:rsidR="00981629" w:rsidRPr="00A07F52" w:rsidRDefault="003740C5" w:rsidP="003428C4">
      <w:pPr>
        <w:pStyle w:val="CoPborderheading"/>
        <w:numPr>
          <w:ilvl w:val="0"/>
          <w:numId w:val="5"/>
        </w:numPr>
        <w:rPr>
          <w:rFonts w:hint="eastAsia"/>
        </w:rPr>
      </w:pPr>
      <w:bookmarkStart w:id="3" w:name="_Toc426405563"/>
      <w:r w:rsidRPr="003428C4">
        <w:rPr>
          <w:rFonts w:eastAsia="Calibri"/>
          <w:spacing w:val="-1"/>
        </w:rPr>
        <w:t>S</w:t>
      </w:r>
      <w:r w:rsidR="00981629" w:rsidRPr="003428C4">
        <w:rPr>
          <w:rFonts w:eastAsia="Calibri"/>
          <w:spacing w:val="-1"/>
        </w:rPr>
        <w:t>cope</w:t>
      </w:r>
      <w:bookmarkEnd w:id="2"/>
      <w:bookmarkEnd w:id="3"/>
      <w:r w:rsidR="00981629" w:rsidRPr="00A07F52">
        <w:t xml:space="preserve"> </w:t>
      </w:r>
    </w:p>
    <w:p w14:paraId="38B73112" w14:textId="5CED89AF" w:rsidR="008D12C2" w:rsidRDefault="008D12C2" w:rsidP="00244234">
      <w:pPr>
        <w:pStyle w:val="CoPNumberlevel1"/>
      </w:pPr>
      <w:bookmarkStart w:id="4" w:name="_Toc342395973"/>
      <w:r>
        <w:t>This Code o</w:t>
      </w:r>
      <w:r w:rsidR="00221A13">
        <w:t>f Practice applies to all LSTM</w:t>
      </w:r>
      <w:r>
        <w:t xml:space="preserve"> </w:t>
      </w:r>
      <w:r w:rsidR="00F426A4">
        <w:t>programmes</w:t>
      </w:r>
      <w:r w:rsidR="00F57397">
        <w:t xml:space="preserve"> that lead to an award. </w:t>
      </w:r>
      <w:r w:rsidR="00F426A4">
        <w:t xml:space="preserve">It does not apply to </w:t>
      </w:r>
      <w:r>
        <w:t>short courses where a certificat</w:t>
      </w:r>
      <w:r w:rsidR="00237D1E">
        <w:t>e of attendance only is issued.</w:t>
      </w:r>
    </w:p>
    <w:p w14:paraId="66E256E7" w14:textId="3866D674" w:rsidR="00ED4A53" w:rsidRPr="00A07F52" w:rsidRDefault="00ED4A53" w:rsidP="003428C4">
      <w:pPr>
        <w:pStyle w:val="CoPborderheading"/>
        <w:numPr>
          <w:ilvl w:val="0"/>
          <w:numId w:val="5"/>
        </w:numPr>
        <w:rPr>
          <w:rFonts w:hint="eastAsia"/>
        </w:rPr>
      </w:pPr>
      <w:bookmarkStart w:id="5" w:name="_Toc426405564"/>
      <w:r w:rsidRPr="00A07F52">
        <w:t>Roles and Responsibilities</w:t>
      </w:r>
      <w:bookmarkEnd w:id="4"/>
      <w:bookmarkEnd w:id="5"/>
    </w:p>
    <w:p w14:paraId="7C32AE2E" w14:textId="3AAC64E1" w:rsidR="00F24A4C" w:rsidRPr="00FC2F2B" w:rsidRDefault="00BE231D" w:rsidP="00244234">
      <w:pPr>
        <w:pStyle w:val="CoPNumberlevel1"/>
      </w:pPr>
      <w:r>
        <w:t>T</w:t>
      </w:r>
      <w:r w:rsidR="00F24A4C" w:rsidRPr="00FC2F2B">
        <w:t>he D</w:t>
      </w:r>
      <w:r w:rsidR="00571EA2">
        <w:t>ean</w:t>
      </w:r>
      <w:r w:rsidR="00F24A4C" w:rsidRPr="00FC2F2B">
        <w:t xml:space="preserve"> of Education </w:t>
      </w:r>
      <w:r>
        <w:t>will</w:t>
      </w:r>
      <w:r w:rsidR="00F24A4C" w:rsidRPr="00FC2F2B">
        <w:t>:</w:t>
      </w:r>
    </w:p>
    <w:p w14:paraId="7405024B" w14:textId="7F34FBC0" w:rsidR="00F24A4C" w:rsidRPr="001336F8" w:rsidRDefault="00F24A4C" w:rsidP="00244234">
      <w:pPr>
        <w:pStyle w:val="CoPNumberlevel2"/>
      </w:pPr>
      <w:r w:rsidRPr="001336F8">
        <w:t>Approve requests to amend the</w:t>
      </w:r>
      <w:r w:rsidR="00237D1E" w:rsidRPr="001336F8">
        <w:t xml:space="preserve"> published dates of assessments</w:t>
      </w:r>
    </w:p>
    <w:p w14:paraId="142CD42E" w14:textId="4B5DF2F8" w:rsidR="000E03EC" w:rsidRDefault="00F24A4C" w:rsidP="00244234">
      <w:pPr>
        <w:pStyle w:val="CoPNumberlevel2"/>
      </w:pPr>
      <w:r>
        <w:t>Authorise extension</w:t>
      </w:r>
      <w:r w:rsidR="00237D1E">
        <w:t xml:space="preserve"> requests for MSc dissertations</w:t>
      </w:r>
    </w:p>
    <w:p w14:paraId="16D4B0A5" w14:textId="51FEED02" w:rsidR="000E03EC" w:rsidRDefault="00F24A4C" w:rsidP="00244234">
      <w:pPr>
        <w:pStyle w:val="CoPNumberlevel2"/>
      </w:pPr>
      <w:r>
        <w:t>Authorise requests to defer an examination</w:t>
      </w:r>
    </w:p>
    <w:p w14:paraId="4EA014E8" w14:textId="70AEF8EF" w:rsidR="000544E9" w:rsidRDefault="000544E9" w:rsidP="00244234">
      <w:pPr>
        <w:pStyle w:val="CoPNumberlevel2"/>
      </w:pPr>
      <w:r>
        <w:t>Arbitrate in cases where moderation has revealed significant differences in marking standards or assign a third marker where two markers are unable to reach a</w:t>
      </w:r>
      <w:r w:rsidR="00237D1E">
        <w:t>n agreement when double marking</w:t>
      </w:r>
    </w:p>
    <w:p w14:paraId="6C05A775" w14:textId="6945A37E" w:rsidR="00EC5D7B" w:rsidRDefault="00EC5D7B" w:rsidP="00244234">
      <w:pPr>
        <w:pStyle w:val="CoPNumberlevel2"/>
      </w:pPr>
      <w:r>
        <w:t>Approve requests to offer an alternative type of assessment for a re-sit, provided the assessment tests the same lear</w:t>
      </w:r>
      <w:r w:rsidR="00237D1E">
        <w:t>ning outcomes as the original</w:t>
      </w:r>
    </w:p>
    <w:p w14:paraId="234FD2F5" w14:textId="78A44648" w:rsidR="008E19B5" w:rsidRDefault="008E19B5" w:rsidP="00244234">
      <w:pPr>
        <w:pStyle w:val="CoPNumberlevel2"/>
      </w:pPr>
      <w:r>
        <w:t>Decide whether a student has grounds for appeal and if necessary, convene the Academic Appeals Panel</w:t>
      </w:r>
    </w:p>
    <w:p w14:paraId="11E0B430" w14:textId="7DE2371E" w:rsidR="00EC5D7B" w:rsidRDefault="00A278F6" w:rsidP="00244234">
      <w:pPr>
        <w:pStyle w:val="CoPNumberlevel1"/>
      </w:pPr>
      <w:r>
        <w:t>The</w:t>
      </w:r>
      <w:r w:rsidR="00EC5D7B">
        <w:t xml:space="preserve"> Board of Examiners </w:t>
      </w:r>
      <w:r>
        <w:t>will</w:t>
      </w:r>
      <w:r w:rsidR="00EC5D7B">
        <w:t>:</w:t>
      </w:r>
    </w:p>
    <w:p w14:paraId="68E00A1B" w14:textId="5C14C450" w:rsidR="00FC2F2B" w:rsidRPr="00FC2F2B" w:rsidRDefault="00FC2F2B" w:rsidP="00244234">
      <w:pPr>
        <w:pStyle w:val="CoPNumberlevel2"/>
      </w:pPr>
      <w:r w:rsidRPr="00FC2F2B">
        <w:t>Make decisions on final awards, including co</w:t>
      </w:r>
      <w:r w:rsidR="00237D1E">
        <w:t>nsideration of borderline cases</w:t>
      </w:r>
    </w:p>
    <w:p w14:paraId="59875A34" w14:textId="04424052" w:rsidR="00FC2F2B" w:rsidRPr="00F272F8" w:rsidRDefault="00FC2F2B" w:rsidP="00244234">
      <w:pPr>
        <w:pStyle w:val="CoPNumberlevel2"/>
      </w:pPr>
      <w:r w:rsidRPr="00F272F8">
        <w:t>Make decisions on</w:t>
      </w:r>
      <w:r w:rsidR="00237D1E">
        <w:t xml:space="preserve"> breaches of academic integrity</w:t>
      </w:r>
    </w:p>
    <w:p w14:paraId="28E10F72" w14:textId="2A56475E" w:rsidR="00FC2F2B" w:rsidRPr="00EC2AE1" w:rsidRDefault="00FC2F2B" w:rsidP="00244234">
      <w:pPr>
        <w:pStyle w:val="CoPNumberlevel2"/>
      </w:pPr>
      <w:r w:rsidRPr="00EC2AE1">
        <w:t xml:space="preserve">Determine which element(s) of a failed module shall be offered </w:t>
      </w:r>
      <w:r w:rsidR="00EC2AE1">
        <w:t>for re</w:t>
      </w:r>
      <w:r w:rsidRPr="00EC2AE1">
        <w:t>as</w:t>
      </w:r>
      <w:r w:rsidR="00EC2AE1">
        <w:t xml:space="preserve">sessment </w:t>
      </w:r>
      <w:r w:rsidRPr="00EC2AE1">
        <w:t>where there are several assessment component</w:t>
      </w:r>
      <w:r w:rsidR="00237D1E">
        <w:t>s for a module (MSc programmes)</w:t>
      </w:r>
    </w:p>
    <w:p w14:paraId="2AC14244" w14:textId="58828896" w:rsidR="00FC2F2B" w:rsidRDefault="00FC2F2B" w:rsidP="00244234">
      <w:pPr>
        <w:pStyle w:val="CoPNumberlevel2"/>
      </w:pPr>
      <w:r w:rsidRPr="00F272F8">
        <w:t xml:space="preserve">Make decisions on action to be taken based on recommendations from the </w:t>
      </w:r>
      <w:r w:rsidR="006F7B63">
        <w:t>Extenuat</w:t>
      </w:r>
      <w:r w:rsidR="00237D1E">
        <w:t>ing Circumstances Committee</w:t>
      </w:r>
    </w:p>
    <w:p w14:paraId="408257FC" w14:textId="63762F2B" w:rsidR="00813891" w:rsidRDefault="00813891" w:rsidP="00244234">
      <w:pPr>
        <w:pStyle w:val="CoPNumberlevel2"/>
      </w:pPr>
      <w:r>
        <w:t>Make decisions on action to be taken based on recommendations from the Academic Appeals Panel</w:t>
      </w:r>
    </w:p>
    <w:p w14:paraId="51130C5B" w14:textId="1003E78C" w:rsidR="00EF35B9" w:rsidRDefault="00A278F6" w:rsidP="00244234">
      <w:pPr>
        <w:pStyle w:val="CoPNumberlevel1"/>
      </w:pPr>
      <w:r>
        <w:t>T</w:t>
      </w:r>
      <w:r w:rsidR="000E35FD">
        <w:t xml:space="preserve">he Academic Registrar </w:t>
      </w:r>
      <w:r>
        <w:t>will</w:t>
      </w:r>
      <w:r w:rsidR="000E35FD">
        <w:t>:</w:t>
      </w:r>
    </w:p>
    <w:p w14:paraId="1DE70E5F" w14:textId="496C03A6" w:rsidR="00C6490E" w:rsidRDefault="00C6490E" w:rsidP="00244234">
      <w:pPr>
        <w:pStyle w:val="CoPNumberlevel2"/>
      </w:pPr>
      <w:r>
        <w:t xml:space="preserve">Advise students on the </w:t>
      </w:r>
      <w:r w:rsidR="00244234">
        <w:t xml:space="preserve">procedure for making an academic appeal </w:t>
      </w:r>
    </w:p>
    <w:p w14:paraId="1FC34ACA" w14:textId="5AC778FE" w:rsidR="00922CE2" w:rsidRDefault="000D3EE5" w:rsidP="00244234">
      <w:pPr>
        <w:pStyle w:val="CoPNumberlevel2"/>
      </w:pPr>
      <w:r>
        <w:t>Act as Secretary to the MSc Board of Examiners</w:t>
      </w:r>
      <w:r w:rsidR="00A278F6">
        <w:t>,</w:t>
      </w:r>
      <w:r>
        <w:t xml:space="preserve"> </w:t>
      </w:r>
      <w:r w:rsidR="00A278F6">
        <w:t xml:space="preserve">Academic Integrity Panels, </w:t>
      </w:r>
      <w:r w:rsidR="00813891">
        <w:t xml:space="preserve">Academic Appeals Panels </w:t>
      </w:r>
      <w:r w:rsidR="00A278F6">
        <w:t xml:space="preserve">and </w:t>
      </w:r>
      <w:r w:rsidR="006F7B63">
        <w:t>Extenuating</w:t>
      </w:r>
      <w:r>
        <w:t xml:space="preserve"> Circumstances Committee and co</w:t>
      </w:r>
      <w:r w:rsidR="00237D1E">
        <w:t>mmunicate decisions to students</w:t>
      </w:r>
    </w:p>
    <w:p w14:paraId="3747FCEB" w14:textId="6FC81FF2" w:rsidR="00A278F6" w:rsidRDefault="000D3EE5" w:rsidP="00244234">
      <w:pPr>
        <w:pStyle w:val="CoPNumberlevel2"/>
      </w:pPr>
      <w:r>
        <w:lastRenderedPageBreak/>
        <w:t>Make arrangements for re-sits and resubmissions and co</w:t>
      </w:r>
      <w:r w:rsidR="00237D1E">
        <w:t>mmunicate these to the students</w:t>
      </w:r>
    </w:p>
    <w:p w14:paraId="1ECA0580" w14:textId="3A50090E" w:rsidR="000D3EE5" w:rsidRDefault="000D3EE5" w:rsidP="00244234">
      <w:pPr>
        <w:pStyle w:val="CoPNumberlevel2"/>
      </w:pPr>
      <w:r>
        <w:t xml:space="preserve">Advise the Quality Unit </w:t>
      </w:r>
      <w:r w:rsidR="00A278F6">
        <w:t>and markers of outcomes of Academic Integrity Panels</w:t>
      </w:r>
      <w:r w:rsidR="00813891">
        <w:t xml:space="preserve"> and Academic Appeals Panels</w:t>
      </w:r>
      <w:r w:rsidR="00A278F6">
        <w:t xml:space="preserve"> and record penalties in the Virtual Learning Environment</w:t>
      </w:r>
      <w:r w:rsidR="00DF594E">
        <w:t xml:space="preserve"> (VLE)</w:t>
      </w:r>
    </w:p>
    <w:p w14:paraId="339EEBFD" w14:textId="15E2433F" w:rsidR="00FC2F2B" w:rsidRDefault="00A278F6" w:rsidP="00244234">
      <w:pPr>
        <w:pStyle w:val="CoPNumberlevel2"/>
      </w:pPr>
      <w:r>
        <w:t xml:space="preserve">Draft responses to </w:t>
      </w:r>
      <w:r w:rsidR="00FC2F2B">
        <w:t>external examiner reports</w:t>
      </w:r>
      <w:r>
        <w:t xml:space="preserve"> after discussion with the Director of Studies on behalf of the D</w:t>
      </w:r>
      <w:r w:rsidR="00571EA2">
        <w:t>ean</w:t>
      </w:r>
      <w:r>
        <w:t xml:space="preserve"> of Education</w:t>
      </w:r>
    </w:p>
    <w:p w14:paraId="63D40DB1" w14:textId="20D92F3C" w:rsidR="00157227" w:rsidRDefault="00157227" w:rsidP="00244234">
      <w:pPr>
        <w:pStyle w:val="CoPNumberlevel1"/>
      </w:pPr>
      <w:r>
        <w:t>The Qu</w:t>
      </w:r>
      <w:r w:rsidR="00EC2AE1">
        <w:t>ality Management Committee will a</w:t>
      </w:r>
      <w:r>
        <w:t>pprove the appointment of external examiners</w:t>
      </w:r>
      <w:r w:rsidR="00237D1E">
        <w:t>.</w:t>
      </w:r>
    </w:p>
    <w:p w14:paraId="5EE48A16" w14:textId="1F2363E8" w:rsidR="00FC2F2B" w:rsidRDefault="00A278F6" w:rsidP="00244234">
      <w:pPr>
        <w:pStyle w:val="CoPNumberlevel1"/>
      </w:pPr>
      <w:r>
        <w:t>The</w:t>
      </w:r>
      <w:r w:rsidR="00FC2F2B">
        <w:t xml:space="preserve"> Quality Unit </w:t>
      </w:r>
      <w:r>
        <w:t>will</w:t>
      </w:r>
      <w:r w:rsidR="00FC2F2B">
        <w:t>:</w:t>
      </w:r>
    </w:p>
    <w:p w14:paraId="4243E29C" w14:textId="5D6643E0" w:rsidR="00FC2F2B" w:rsidRDefault="00FC2F2B" w:rsidP="00244234">
      <w:pPr>
        <w:pStyle w:val="CoPNumberlevel2"/>
      </w:pPr>
      <w:r>
        <w:t>Keep an accurate record of marks and store assessments in accordance with LSTM policy and in line w</w:t>
      </w:r>
      <w:r w:rsidR="00237D1E">
        <w:t>ith data protection regulations</w:t>
      </w:r>
    </w:p>
    <w:p w14:paraId="42D5F43E" w14:textId="3438DFC0" w:rsidR="00FC2F2B" w:rsidRDefault="00157227" w:rsidP="00244234">
      <w:pPr>
        <w:pStyle w:val="CoPNumberlevel2"/>
      </w:pPr>
      <w:r>
        <w:t>Make arrangements for external examiners’</w:t>
      </w:r>
      <w:r w:rsidR="00FC2F2B">
        <w:t xml:space="preserve"> attendance at examination boards, ensuring they have access to relevant assessmen</w:t>
      </w:r>
      <w:r w:rsidR="00237D1E">
        <w:t>ts and supporting documentation</w:t>
      </w:r>
    </w:p>
    <w:p w14:paraId="41FEA15E" w14:textId="06348060" w:rsidR="00FC2F2B" w:rsidRDefault="00157227" w:rsidP="00244234">
      <w:pPr>
        <w:pStyle w:val="CoPNumberlevel2"/>
      </w:pPr>
      <w:r>
        <w:t>C</w:t>
      </w:r>
      <w:r w:rsidR="006E52C5">
        <w:t xml:space="preserve">ommunicate provisional </w:t>
      </w:r>
      <w:r>
        <w:t xml:space="preserve">assessment </w:t>
      </w:r>
      <w:r w:rsidR="00237D1E">
        <w:t>results to students</w:t>
      </w:r>
    </w:p>
    <w:p w14:paraId="67D89C9C" w14:textId="1A4CD39D" w:rsidR="006835D3" w:rsidRDefault="006835D3" w:rsidP="00244234">
      <w:pPr>
        <w:pStyle w:val="CoPNumberlevel2"/>
      </w:pPr>
      <w:r>
        <w:t>Set a schedule at the start of the academic year for meetings of Boards of Studies and Boards of Examiner</w:t>
      </w:r>
      <w:r w:rsidR="00157227">
        <w:t>s and assessment deadline dates and co</w:t>
      </w:r>
      <w:r w:rsidR="00237D1E">
        <w:t>mmunicate to staff and students</w:t>
      </w:r>
    </w:p>
    <w:p w14:paraId="725B7264" w14:textId="2303F001" w:rsidR="00115242" w:rsidRDefault="00157227" w:rsidP="00244234">
      <w:pPr>
        <w:pStyle w:val="CoPNumberlevel2"/>
      </w:pPr>
      <w:r>
        <w:t>Ensure that the internal verification procedur</w:t>
      </w:r>
      <w:r w:rsidR="00237D1E">
        <w:t>es for assessments are followed</w:t>
      </w:r>
    </w:p>
    <w:p w14:paraId="2AADD77F" w14:textId="51C79B90" w:rsidR="00DF594E" w:rsidRDefault="00DF594E" w:rsidP="00244234">
      <w:pPr>
        <w:pStyle w:val="CoPNumberlevel2"/>
      </w:pPr>
      <w:r>
        <w:t>Monitor the consistency</w:t>
      </w:r>
      <w:r w:rsidR="00237D1E">
        <w:t xml:space="preserve"> of feedback across assignments</w:t>
      </w:r>
    </w:p>
    <w:p w14:paraId="3608F001" w14:textId="16911C7A" w:rsidR="006E52C5" w:rsidRDefault="00EC2AE1" w:rsidP="00244234">
      <w:pPr>
        <w:pStyle w:val="CoPNumberlevel1"/>
      </w:pPr>
      <w:r>
        <w:t>M</w:t>
      </w:r>
      <w:r w:rsidR="006E52C5">
        <w:t xml:space="preserve">arkers </w:t>
      </w:r>
      <w:r w:rsidR="00157227">
        <w:t>will</w:t>
      </w:r>
      <w:r w:rsidR="006E52C5">
        <w:t>:</w:t>
      </w:r>
    </w:p>
    <w:p w14:paraId="457AA4B2" w14:textId="4DA57518" w:rsidR="006E52C5" w:rsidRDefault="006E52C5" w:rsidP="00244234">
      <w:pPr>
        <w:pStyle w:val="CoPNumberlevel2"/>
      </w:pPr>
      <w:r>
        <w:t>Alert the Academic Registrar to suspected breaches of aca</w:t>
      </w:r>
      <w:r w:rsidR="00237D1E">
        <w:t>demic integrity and seek advice</w:t>
      </w:r>
    </w:p>
    <w:p w14:paraId="598B3C86" w14:textId="4BEF73FF" w:rsidR="006835D3" w:rsidRDefault="006835D3" w:rsidP="00244234">
      <w:pPr>
        <w:pStyle w:val="CoPNumberlevel2"/>
      </w:pPr>
      <w:r>
        <w:t>Mark assignments in accordanc</w:t>
      </w:r>
      <w:r w:rsidR="00237D1E">
        <w:t>e with defined marking criteria</w:t>
      </w:r>
    </w:p>
    <w:p w14:paraId="2919DB19" w14:textId="1DAC1DD2" w:rsidR="006835D3" w:rsidRDefault="00C214F7" w:rsidP="00244234">
      <w:pPr>
        <w:pStyle w:val="CoPNumberlevel1"/>
      </w:pPr>
      <w:r>
        <w:t>T</w:t>
      </w:r>
      <w:r w:rsidR="006835D3">
        <w:t xml:space="preserve">he Director of Studies </w:t>
      </w:r>
      <w:r>
        <w:t>will</w:t>
      </w:r>
      <w:r w:rsidR="006835D3">
        <w:t>:</w:t>
      </w:r>
    </w:p>
    <w:p w14:paraId="1501554F" w14:textId="47F0D297" w:rsidR="006835D3" w:rsidRDefault="006835D3" w:rsidP="00244234">
      <w:pPr>
        <w:pStyle w:val="CoPNumberlevel2"/>
      </w:pPr>
      <w:r>
        <w:t>Make arrangements for Board of Studies and Board of Examiners meetings in line with the sche</w:t>
      </w:r>
      <w:r w:rsidR="00237D1E">
        <w:t>dule set up by the Quality Unit</w:t>
      </w:r>
    </w:p>
    <w:p w14:paraId="7BC8EAAE" w14:textId="32A716EC" w:rsidR="006835D3" w:rsidRPr="00EC2AE1" w:rsidRDefault="006835D3" w:rsidP="00244234">
      <w:pPr>
        <w:pStyle w:val="CoPNumberlevel2"/>
      </w:pPr>
      <w:r>
        <w:t>Assist with investigations into suspected</w:t>
      </w:r>
      <w:r w:rsidR="00237D1E">
        <w:t xml:space="preserve"> breaches of academic integrity</w:t>
      </w:r>
    </w:p>
    <w:p w14:paraId="3CD4CBC1" w14:textId="29C14DCE" w:rsidR="006835D3" w:rsidRDefault="006835D3" w:rsidP="00244234">
      <w:pPr>
        <w:pStyle w:val="CoPNumberlevel2"/>
      </w:pPr>
      <w:r>
        <w:t xml:space="preserve">Authorise requests </w:t>
      </w:r>
      <w:r w:rsidR="00DF594E">
        <w:t xml:space="preserve">from individual students </w:t>
      </w:r>
      <w:r>
        <w:t>for extensions</w:t>
      </w:r>
      <w:r w:rsidR="00237D1E">
        <w:t xml:space="preserve"> to assessment submission dates</w:t>
      </w:r>
    </w:p>
    <w:p w14:paraId="6663E8C3" w14:textId="68B7CE5D" w:rsidR="00115242" w:rsidRDefault="00115242" w:rsidP="00244234">
      <w:pPr>
        <w:pStyle w:val="CoPNumberlevel2"/>
      </w:pPr>
      <w:r>
        <w:t>Propose external examiners and confirm reappointment of exist</w:t>
      </w:r>
      <w:r w:rsidR="00237D1E">
        <w:t>ing external examiners annually</w:t>
      </w:r>
    </w:p>
    <w:p w14:paraId="624B500A" w14:textId="77777777" w:rsidR="009554F1" w:rsidRDefault="00C85507" w:rsidP="003428C4">
      <w:pPr>
        <w:pStyle w:val="CoPborderheading"/>
        <w:numPr>
          <w:ilvl w:val="0"/>
          <w:numId w:val="5"/>
        </w:numPr>
        <w:rPr>
          <w:rFonts w:hint="eastAsia"/>
        </w:rPr>
      </w:pPr>
      <w:bookmarkStart w:id="6" w:name="_Toc426405565"/>
      <w:r w:rsidRPr="003428C4">
        <w:rPr>
          <w:rFonts w:eastAsia="Calibri"/>
          <w:spacing w:val="-1"/>
        </w:rPr>
        <w:lastRenderedPageBreak/>
        <w:t>Principles</w:t>
      </w:r>
      <w:r>
        <w:t xml:space="preserve"> of Assessment</w:t>
      </w:r>
      <w:bookmarkEnd w:id="6"/>
    </w:p>
    <w:p w14:paraId="7E4A8D5C" w14:textId="0D21F786" w:rsidR="009554F1" w:rsidRPr="000D3EE5" w:rsidRDefault="009554F1" w:rsidP="00244234">
      <w:pPr>
        <w:pStyle w:val="CoPNumberlevel1"/>
      </w:pPr>
      <w:r w:rsidRPr="00FC2F2B">
        <w:t>When designing programmes, care should be taken to ensure that methods of assessment are appropriate to the teaching and learning methods and th</w:t>
      </w:r>
      <w:r w:rsidR="00237D1E">
        <w:t>e specified learning outcomes</w:t>
      </w:r>
    </w:p>
    <w:p w14:paraId="0D1DFAAF" w14:textId="6B2175F7" w:rsidR="00F426A4" w:rsidRPr="000D3EE5" w:rsidRDefault="009554F1" w:rsidP="00244234">
      <w:pPr>
        <w:pStyle w:val="CoPNumberlevel1"/>
      </w:pPr>
      <w:r w:rsidRPr="000D3EE5">
        <w:t xml:space="preserve">Assessment policies, practices and procedures should take account of the diversity of the student population and </w:t>
      </w:r>
      <w:r w:rsidR="00BC3559" w:rsidRPr="000D3EE5">
        <w:t>p</w:t>
      </w:r>
      <w:r w:rsidR="004F2639" w:rsidRPr="000D3EE5">
        <w:t>rovide every student with an equal opportunity to demonstrate their achievement</w:t>
      </w:r>
    </w:p>
    <w:p w14:paraId="5226D394" w14:textId="7DB77DF6" w:rsidR="009554F1" w:rsidRPr="000D3EE5" w:rsidRDefault="009554F1" w:rsidP="00244234">
      <w:pPr>
        <w:pStyle w:val="CoPNumberlevel1"/>
      </w:pPr>
      <w:r w:rsidRPr="000D3EE5">
        <w:t xml:space="preserve">Assessment methods should facilitate differentiation between </w:t>
      </w:r>
      <w:r w:rsidR="00BC3559" w:rsidRPr="000D3EE5">
        <w:t xml:space="preserve">levels of </w:t>
      </w:r>
      <w:r w:rsidRPr="000D3EE5">
        <w:t>achievement</w:t>
      </w:r>
    </w:p>
    <w:p w14:paraId="368FC3F6" w14:textId="51D2A783" w:rsidR="009554F1" w:rsidRPr="000D3EE5" w:rsidRDefault="009554F1" w:rsidP="00244234">
      <w:pPr>
        <w:pStyle w:val="CoPNumberlevel1"/>
      </w:pPr>
      <w:r w:rsidRPr="000D3EE5">
        <w:t xml:space="preserve">Assessment strategies for programmes should be clearly indicated in programme specifications, </w:t>
      </w:r>
      <w:r w:rsidR="00DF594E">
        <w:t>and</w:t>
      </w:r>
      <w:r w:rsidRPr="000D3EE5">
        <w:t xml:space="preserve"> where relevant, in the appropriate module specification</w:t>
      </w:r>
      <w:r w:rsidR="00DF594E">
        <w:t>s</w:t>
      </w:r>
    </w:p>
    <w:p w14:paraId="445D7D1F" w14:textId="2374CBCD" w:rsidR="00BC3559" w:rsidRPr="000D3EE5" w:rsidRDefault="00BC3559" w:rsidP="00244234">
      <w:pPr>
        <w:pStyle w:val="CoPNumberlevel1"/>
      </w:pPr>
      <w:r w:rsidRPr="000D3EE5">
        <w:t xml:space="preserve">Staff responsible for carrying out assessments </w:t>
      </w:r>
      <w:r w:rsidR="00DF594E">
        <w:t>should be</w:t>
      </w:r>
      <w:r w:rsidRPr="000D3EE5">
        <w:t xml:space="preserve"> fully aware of the relevant procedures and students </w:t>
      </w:r>
      <w:r w:rsidR="00DF594E">
        <w:t xml:space="preserve">should </w:t>
      </w:r>
      <w:r w:rsidRPr="000D3EE5">
        <w:t>have clear informati</w:t>
      </w:r>
      <w:r w:rsidR="00237D1E">
        <w:t>on on how they will be assessed</w:t>
      </w:r>
    </w:p>
    <w:p w14:paraId="5195F669" w14:textId="77777777" w:rsidR="00CF6C2B" w:rsidRPr="000D3EE5" w:rsidRDefault="00CF6C2B" w:rsidP="00244234">
      <w:pPr>
        <w:pStyle w:val="CoPNumberlevel1"/>
      </w:pPr>
      <w:r w:rsidRPr="000D3EE5">
        <w:t>Assessment may be:</w:t>
      </w:r>
    </w:p>
    <w:p w14:paraId="011B066C" w14:textId="77777777" w:rsidR="00CF6C2B" w:rsidRDefault="00CF6C2B" w:rsidP="00244234">
      <w:pPr>
        <w:pStyle w:val="CoPNumberlevel2"/>
      </w:pPr>
      <w:r>
        <w:t>Diagnostic – provides an indicator of a learner’s aptitude and preparedness for the programme</w:t>
      </w:r>
      <w:r w:rsidR="00F17943">
        <w:t xml:space="preserve"> and identifies gaps in knowledge, understanding or skills</w:t>
      </w:r>
    </w:p>
    <w:p w14:paraId="04D1FC69" w14:textId="73CFC266" w:rsidR="009554F1" w:rsidRDefault="009554F1" w:rsidP="00244234">
      <w:pPr>
        <w:pStyle w:val="CoPNumberlevel2"/>
      </w:pPr>
      <w:r>
        <w:t>Formative – provide</w:t>
      </w:r>
      <w:r w:rsidR="00CF6C2B">
        <w:t>s</w:t>
      </w:r>
      <w:r>
        <w:t xml:space="preserve"> learners with feedback on progress and inform</w:t>
      </w:r>
      <w:r w:rsidR="00CF6C2B">
        <w:t>s</w:t>
      </w:r>
      <w:r>
        <w:t xml:space="preserve"> development but does not contr</w:t>
      </w:r>
      <w:r w:rsidR="00CF6C2B">
        <w:t>ibute to the overa</w:t>
      </w:r>
      <w:r w:rsidR="00237D1E">
        <w:t>ll assessment for the programme</w:t>
      </w:r>
    </w:p>
    <w:p w14:paraId="06CCEAD7" w14:textId="77777777" w:rsidR="009554F1" w:rsidRDefault="00CF6C2B" w:rsidP="00244234">
      <w:pPr>
        <w:pStyle w:val="CoPNumberlevel2"/>
      </w:pPr>
      <w:r>
        <w:t>Summative – p</w:t>
      </w:r>
      <w:r w:rsidR="009554F1">
        <w:t xml:space="preserve">rovides a measure of achievement </w:t>
      </w:r>
      <w:r>
        <w:t xml:space="preserve">by the </w:t>
      </w:r>
      <w:r w:rsidR="009554F1">
        <w:t>learner</w:t>
      </w:r>
      <w:r>
        <w:t xml:space="preserve"> </w:t>
      </w:r>
      <w:r w:rsidR="009554F1">
        <w:t xml:space="preserve">in relation to the intended learning outcomes </w:t>
      </w:r>
      <w:r>
        <w:t>and contributes to the overall assessment for the programme</w:t>
      </w:r>
    </w:p>
    <w:p w14:paraId="7E59FCE5" w14:textId="30639CB9" w:rsidR="009554F1" w:rsidRPr="003F476A" w:rsidRDefault="00CF6C2B" w:rsidP="00244234">
      <w:pPr>
        <w:pStyle w:val="CoPNumberlevel1"/>
      </w:pPr>
      <w:r>
        <w:t xml:space="preserve">The assessment strategy for a programme should </w:t>
      </w:r>
      <w:r w:rsidR="00F17943">
        <w:t>employ a variety of assessment methods and an appropriate mix of form</w:t>
      </w:r>
      <w:r w:rsidR="00237D1E">
        <w:t>ative and summative assessments.</w:t>
      </w:r>
    </w:p>
    <w:p w14:paraId="5D47E65D" w14:textId="6C346069" w:rsidR="00974FCC" w:rsidRDefault="00F17943" w:rsidP="00244234">
      <w:pPr>
        <w:pStyle w:val="CoPNumberlevel1"/>
      </w:pPr>
      <w:r>
        <w:t>The amount of assessment should be commensurate with the requirement for a student to demonstrate the achievement of learning outcomes</w:t>
      </w:r>
      <w:r w:rsidR="00974FCC">
        <w:t xml:space="preserve"> (See </w:t>
      </w:r>
      <w:r w:rsidR="00DF594E" w:rsidRPr="00DF594E">
        <w:rPr>
          <w:i/>
        </w:rPr>
        <w:t>Procedure for Provision of Feedback to Students</w:t>
      </w:r>
      <w:r w:rsidR="00237D1E">
        <w:t>).</w:t>
      </w:r>
    </w:p>
    <w:p w14:paraId="2A5D75E6" w14:textId="7700075D" w:rsidR="009554F1" w:rsidRDefault="009554F1" w:rsidP="00244234">
      <w:pPr>
        <w:pStyle w:val="CoPNumberlevel1"/>
      </w:pPr>
      <w:r>
        <w:t xml:space="preserve">Reasonable adjustments </w:t>
      </w:r>
      <w:r w:rsidR="00974FCC">
        <w:t xml:space="preserve">to assessment for individual students will be made in line with the </w:t>
      </w:r>
      <w:r w:rsidR="00974FCC" w:rsidRPr="00974FCC">
        <w:rPr>
          <w:i/>
        </w:rPr>
        <w:t>Code of Practice on S</w:t>
      </w:r>
      <w:r w:rsidR="006F7B63">
        <w:rPr>
          <w:i/>
        </w:rPr>
        <w:t>tudent Support and Welfare</w:t>
      </w:r>
      <w:r w:rsidR="00237D1E">
        <w:rPr>
          <w:i/>
        </w:rPr>
        <w:t>.</w:t>
      </w:r>
    </w:p>
    <w:p w14:paraId="59FB5D62" w14:textId="1B3A6AA5" w:rsidR="007F5096" w:rsidRDefault="007F5096" w:rsidP="003428C4">
      <w:pPr>
        <w:pStyle w:val="CoPborderheading"/>
        <w:numPr>
          <w:ilvl w:val="0"/>
          <w:numId w:val="5"/>
        </w:numPr>
        <w:rPr>
          <w:rFonts w:hint="eastAsia"/>
        </w:rPr>
      </w:pPr>
      <w:bookmarkStart w:id="7" w:name="_Toc426405566"/>
      <w:r w:rsidRPr="003428C4">
        <w:rPr>
          <w:rFonts w:eastAsia="Calibri"/>
          <w:spacing w:val="-1"/>
        </w:rPr>
        <w:t>Principles</w:t>
      </w:r>
      <w:r>
        <w:t xml:space="preserve"> of Feedback</w:t>
      </w:r>
      <w:bookmarkEnd w:id="7"/>
    </w:p>
    <w:p w14:paraId="3DDC7CC2" w14:textId="6A8A9E1F" w:rsidR="007F5096" w:rsidRDefault="00DF594E" w:rsidP="00244234">
      <w:pPr>
        <w:pStyle w:val="CoPNumberlevel1"/>
      </w:pPr>
      <w:r>
        <w:t>Markers</w:t>
      </w:r>
      <w:r w:rsidR="007F5096">
        <w:t xml:space="preserve"> should provide appropriate</w:t>
      </w:r>
      <w:r>
        <w:t>, constructive</w:t>
      </w:r>
      <w:r w:rsidR="007F5096">
        <w:t xml:space="preserve"> and timely feedback to students on assessed work that promotes learning and facilitates improvement</w:t>
      </w:r>
      <w:r w:rsidR="00237D1E">
        <w:t>.</w:t>
      </w:r>
    </w:p>
    <w:p w14:paraId="1B70FDD7" w14:textId="253E8540" w:rsidR="007F5096" w:rsidRDefault="00827647" w:rsidP="00244234">
      <w:pPr>
        <w:pStyle w:val="CoPNumberlevel1"/>
      </w:pPr>
      <w:r>
        <w:t>Generic criteria for written assignments and examinations and assignment specific rubric-based assignment criteria are share</w:t>
      </w:r>
      <w:r w:rsidR="00237D1E">
        <w:t>d with students through the VLE.</w:t>
      </w:r>
    </w:p>
    <w:p w14:paraId="68ADFF8D" w14:textId="5F038628" w:rsidR="00827647" w:rsidRDefault="00827647" w:rsidP="00244234">
      <w:pPr>
        <w:pStyle w:val="CoPNumberlevel1"/>
      </w:pPr>
      <w:r>
        <w:lastRenderedPageBreak/>
        <w:t xml:space="preserve">Feedback should be given on all assignments, whether formative or summative, but may be limited to verbal or group feedback </w:t>
      </w:r>
      <w:r w:rsidR="007C40C3">
        <w:t>for formative ass</w:t>
      </w:r>
      <w:r w:rsidR="00A47860">
        <w:t>essments</w:t>
      </w:r>
      <w:r w:rsidR="00237D1E">
        <w:t>.</w:t>
      </w:r>
    </w:p>
    <w:p w14:paraId="7ACED99E" w14:textId="1D6C4E46" w:rsidR="00827647" w:rsidRDefault="00827647" w:rsidP="00244234">
      <w:pPr>
        <w:pStyle w:val="CoPNumberlevel1"/>
      </w:pPr>
      <w:r>
        <w:t>Markers should be consistent in the amount and type of feedback given to students</w:t>
      </w:r>
      <w:r w:rsidR="00237D1E">
        <w:t xml:space="preserve"> for a particular assignment.</w:t>
      </w:r>
    </w:p>
    <w:p w14:paraId="5E80B28C" w14:textId="34ED1AD6" w:rsidR="006F6C8A" w:rsidRDefault="00734C64" w:rsidP="00CF2FBC">
      <w:pPr>
        <w:pStyle w:val="CoPborderheading"/>
        <w:numPr>
          <w:ilvl w:val="0"/>
          <w:numId w:val="5"/>
        </w:numPr>
        <w:ind w:left="357" w:hanging="357"/>
        <w:rPr>
          <w:rFonts w:hint="eastAsia"/>
        </w:rPr>
      </w:pPr>
      <w:bookmarkStart w:id="8" w:name="_Toc426405567"/>
      <w:r w:rsidRPr="003428C4">
        <w:rPr>
          <w:rFonts w:eastAsia="Calibri"/>
          <w:spacing w:val="-1"/>
        </w:rPr>
        <w:t>T</w:t>
      </w:r>
      <w:r w:rsidR="006F6C8A" w:rsidRPr="003428C4">
        <w:rPr>
          <w:rFonts w:eastAsia="Calibri"/>
          <w:spacing w:val="-1"/>
        </w:rPr>
        <w:t>iming</w:t>
      </w:r>
      <w:r w:rsidR="006F6C8A">
        <w:t xml:space="preserve"> of Assessment</w:t>
      </w:r>
      <w:bookmarkEnd w:id="8"/>
    </w:p>
    <w:p w14:paraId="0A4E9555" w14:textId="693F1534" w:rsidR="006F6C8A" w:rsidRDefault="006F6C8A" w:rsidP="00244234">
      <w:pPr>
        <w:pStyle w:val="CoPNumberlevel1"/>
      </w:pPr>
      <w:r>
        <w:t>Students must be notified of the deadlines for all ass</w:t>
      </w:r>
      <w:r w:rsidR="0008729C">
        <w:t xml:space="preserve">ignments </w:t>
      </w:r>
      <w:r>
        <w:t xml:space="preserve">and dates of examinations at the beginning of the </w:t>
      </w:r>
      <w:r w:rsidR="00237D1E">
        <w:t>programme.</w:t>
      </w:r>
    </w:p>
    <w:p w14:paraId="03C383A6" w14:textId="07D71464" w:rsidR="006F6C8A" w:rsidRDefault="006F6C8A" w:rsidP="00244234">
      <w:pPr>
        <w:pStyle w:val="CoPNumberlevel1"/>
      </w:pPr>
      <w:r>
        <w:t>Ass</w:t>
      </w:r>
      <w:r w:rsidR="0008729C">
        <w:t xml:space="preserve">ignment </w:t>
      </w:r>
      <w:r>
        <w:t>deadlines and examination dates must not be altered without the approval of the D</w:t>
      </w:r>
      <w:r w:rsidR="00571EA2">
        <w:t>ean</w:t>
      </w:r>
      <w:r>
        <w:t xml:space="preserve"> of Education although they may be </w:t>
      </w:r>
      <w:r w:rsidR="0008729C">
        <w:t xml:space="preserve">changed </w:t>
      </w:r>
      <w:r>
        <w:t xml:space="preserve">for individual students if sufficient grounds are </w:t>
      </w:r>
      <w:r w:rsidRPr="0060135B">
        <w:t xml:space="preserve">provided (Section </w:t>
      </w:r>
      <w:r w:rsidR="001968D2" w:rsidRPr="0060135B">
        <w:t>7.2</w:t>
      </w:r>
      <w:r w:rsidR="00237D1E">
        <w:t>).</w:t>
      </w:r>
    </w:p>
    <w:p w14:paraId="7E9E1965" w14:textId="18962533" w:rsidR="006F6C8A" w:rsidRDefault="006F6C8A" w:rsidP="00244234">
      <w:pPr>
        <w:pStyle w:val="CoPNumberlevel1"/>
      </w:pPr>
      <w:r>
        <w:t>For Master</w:t>
      </w:r>
      <w:r w:rsidR="00A25B5E">
        <w:t>’</w:t>
      </w:r>
      <w:r>
        <w:t>s modules</w:t>
      </w:r>
      <w:r w:rsidR="0008729C">
        <w:t xml:space="preserve">, at least one assessment must be scheduled </w:t>
      </w:r>
      <w:r>
        <w:t xml:space="preserve">after the end of teaching during </w:t>
      </w:r>
      <w:r w:rsidR="0008729C">
        <w:t xml:space="preserve">the associated </w:t>
      </w:r>
      <w:r w:rsidR="00237D1E">
        <w:t>assessment period.</w:t>
      </w:r>
    </w:p>
    <w:p w14:paraId="12412A56" w14:textId="689E02D1" w:rsidR="006F6C8A" w:rsidRDefault="0008729C" w:rsidP="00244234">
      <w:pPr>
        <w:pStyle w:val="CoPNumberlevel1"/>
      </w:pPr>
      <w:r>
        <w:t>Timing of in-course assessments should take account of the students’ assessment co</w:t>
      </w:r>
      <w:r w:rsidR="00237D1E">
        <w:t>mmitments across the programme.</w:t>
      </w:r>
    </w:p>
    <w:p w14:paraId="6901D56B" w14:textId="77777777" w:rsidR="009554F1" w:rsidRDefault="009554F1" w:rsidP="003428C4">
      <w:pPr>
        <w:pStyle w:val="CoPborderheading"/>
        <w:numPr>
          <w:ilvl w:val="0"/>
          <w:numId w:val="5"/>
        </w:numPr>
        <w:rPr>
          <w:rFonts w:hint="eastAsia"/>
        </w:rPr>
      </w:pPr>
      <w:bookmarkStart w:id="9" w:name="_Toc426405568"/>
      <w:r w:rsidRPr="003428C4">
        <w:rPr>
          <w:rFonts w:eastAsia="Calibri"/>
          <w:spacing w:val="-1"/>
        </w:rPr>
        <w:t>Submission</w:t>
      </w:r>
      <w:r>
        <w:t xml:space="preserve"> of Assessed Coursework</w:t>
      </w:r>
      <w:bookmarkEnd w:id="9"/>
    </w:p>
    <w:p w14:paraId="06656236" w14:textId="10DF08B9" w:rsidR="002476F8" w:rsidRDefault="006025EE" w:rsidP="00244234">
      <w:pPr>
        <w:pStyle w:val="CoPNumberlevel1"/>
      </w:pPr>
      <w:r>
        <w:t>S</w:t>
      </w:r>
      <w:r w:rsidR="009554F1">
        <w:t xml:space="preserve">tudents </w:t>
      </w:r>
      <w:r>
        <w:t xml:space="preserve">are expected to </w:t>
      </w:r>
      <w:r w:rsidR="009554F1">
        <w:t xml:space="preserve">submit coursework </w:t>
      </w:r>
      <w:r w:rsidR="002476F8">
        <w:t xml:space="preserve">assignments </w:t>
      </w:r>
      <w:r w:rsidR="009554F1">
        <w:t>through the VLE</w:t>
      </w:r>
      <w:r>
        <w:t xml:space="preserve"> unless instructed otherwise</w:t>
      </w:r>
      <w:r w:rsidR="001D7DA9">
        <w:t xml:space="preserve">, </w:t>
      </w:r>
      <w:r w:rsidR="009554F1">
        <w:t>in accordance with published deadlines</w:t>
      </w:r>
      <w:r>
        <w:t>. The time recorded by the VLE will be taken as the formal time of submission</w:t>
      </w:r>
      <w:r w:rsidR="00237D1E">
        <w:t>.</w:t>
      </w:r>
    </w:p>
    <w:p w14:paraId="7A755A26" w14:textId="59032DD3" w:rsidR="00D46534" w:rsidRDefault="002476F8" w:rsidP="00244234">
      <w:pPr>
        <w:pStyle w:val="CoPNumberlevel1"/>
      </w:pPr>
      <w:r>
        <w:t>A student</w:t>
      </w:r>
      <w:r w:rsidR="009554F1">
        <w:t xml:space="preserve"> may request an extension to an assignment deadline.  </w:t>
      </w:r>
      <w:r w:rsidR="00D46534">
        <w:t xml:space="preserve">Extension requests should normally be submitted at least seven days before the deadline and must be accompanied by supporting evidence.  </w:t>
      </w:r>
      <w:r>
        <w:t xml:space="preserve">Extensions will be granted in relation to circumstances that are serious, unavoidable and unforeseeable and that are likely to impact </w:t>
      </w:r>
      <w:r w:rsidR="00D46534">
        <w:t xml:space="preserve">significantly </w:t>
      </w:r>
      <w:r>
        <w:t xml:space="preserve">on the student’s ability to meet the deadline (e.g. </w:t>
      </w:r>
      <w:r w:rsidR="009554F1">
        <w:t>medical problems, close family illness or bereavement</w:t>
      </w:r>
      <w:r>
        <w:t>).  C</w:t>
      </w:r>
      <w:r w:rsidR="009554F1">
        <w:t xml:space="preserve">omputer-related problems are not valid </w:t>
      </w:r>
      <w:r w:rsidR="00D46534">
        <w:t>gro</w:t>
      </w:r>
      <w:r w:rsidR="00237D1E">
        <w:t>unds for seeking an extension.</w:t>
      </w:r>
    </w:p>
    <w:p w14:paraId="03106E47" w14:textId="77E796A3" w:rsidR="009554F1" w:rsidRDefault="009554F1" w:rsidP="00244234">
      <w:pPr>
        <w:pStyle w:val="CoPNumberlevel1"/>
      </w:pPr>
      <w:r>
        <w:t xml:space="preserve">Coursework </w:t>
      </w:r>
      <w:r w:rsidR="00D46534">
        <w:t xml:space="preserve">submitted late will incur a daily penalty of </w:t>
      </w:r>
      <w:r>
        <w:t xml:space="preserve">5% of the total marks available for </w:t>
      </w:r>
      <w:r w:rsidR="00D46534">
        <w:t>the ass</w:t>
      </w:r>
      <w:r w:rsidR="0008729C">
        <w:t xml:space="preserve">ignment </w:t>
      </w:r>
      <w:r w:rsidR="00D46534">
        <w:t xml:space="preserve">for up to five </w:t>
      </w:r>
      <w:r>
        <w:t>day</w:t>
      </w:r>
      <w:r w:rsidR="00D46534">
        <w:t>s after the deadline</w:t>
      </w:r>
      <w:r w:rsidR="006374B3">
        <w:t xml:space="preserve"> but will not be reduced </w:t>
      </w:r>
      <w:r>
        <w:t xml:space="preserve">below the pass mark </w:t>
      </w:r>
      <w:r w:rsidR="006374B3">
        <w:t xml:space="preserve">of 50%.  Coursework submitted </w:t>
      </w:r>
      <w:r>
        <w:t xml:space="preserve">more than five </w:t>
      </w:r>
      <w:r w:rsidR="006374B3">
        <w:t xml:space="preserve">days after the </w:t>
      </w:r>
      <w:r>
        <w:t xml:space="preserve">deadline will receive a mark of zero.  </w:t>
      </w:r>
      <w:r w:rsidR="004014AF">
        <w:t xml:space="preserve">For assignments that are </w:t>
      </w:r>
      <w:r w:rsidR="004014AF" w:rsidRPr="004014AF">
        <w:rPr>
          <w:u w:val="single"/>
        </w:rPr>
        <w:t>not</w:t>
      </w:r>
      <w:r w:rsidR="004014AF">
        <w:t xml:space="preserve"> required to be submitted electronically, </w:t>
      </w:r>
      <w:r w:rsidR="00216118">
        <w:t>penalties will be applied for working days only.</w:t>
      </w:r>
      <w:r w:rsidR="004014AF">
        <w:t xml:space="preserve">  </w:t>
      </w:r>
      <w:r w:rsidR="00216118">
        <w:t>For these purposes a</w:t>
      </w:r>
      <w:r w:rsidR="004014AF">
        <w:t xml:space="preserve"> working day is defined as a day when LSTM is open and staff would normally be available for work and thus also be available for contact by students. </w:t>
      </w:r>
      <w:r>
        <w:t xml:space="preserve"> Good Friday and Bank Holiday Mondays will be treated as working days for these purposes</w:t>
      </w:r>
      <w:r w:rsidR="00237D1E">
        <w:t>.</w:t>
      </w:r>
    </w:p>
    <w:p w14:paraId="5238018F" w14:textId="2ED1EDCE" w:rsidR="00F24A4C" w:rsidRDefault="00F24A4C" w:rsidP="00244234">
      <w:pPr>
        <w:pStyle w:val="CoPNumberlevel1"/>
      </w:pPr>
      <w:r>
        <w:lastRenderedPageBreak/>
        <w:t xml:space="preserve">Extension requests are normally approved by the Director of Studies </w:t>
      </w:r>
      <w:r w:rsidR="00DF594E">
        <w:t>but</w:t>
      </w:r>
      <w:r>
        <w:t xml:space="preserve"> extension requests for MSc dissertation submission may only be authorised by the D</w:t>
      </w:r>
      <w:r w:rsidR="00571EA2">
        <w:t>ean</w:t>
      </w:r>
      <w:r>
        <w:t xml:space="preserve"> of Education</w:t>
      </w:r>
      <w:r w:rsidR="00402D4E">
        <w:t xml:space="preserve"> </w:t>
      </w:r>
      <w:r>
        <w:t xml:space="preserve">or </w:t>
      </w:r>
      <w:r w:rsidR="00DF594E">
        <w:t>nominated representative.</w:t>
      </w:r>
    </w:p>
    <w:p w14:paraId="48BA2BED" w14:textId="77777777" w:rsidR="00402D4E" w:rsidRDefault="00402D4E" w:rsidP="003428C4">
      <w:pPr>
        <w:pStyle w:val="CoPborderheading"/>
        <w:numPr>
          <w:ilvl w:val="0"/>
          <w:numId w:val="5"/>
        </w:numPr>
        <w:rPr>
          <w:rFonts w:hint="eastAsia"/>
        </w:rPr>
      </w:pPr>
      <w:bookmarkStart w:id="10" w:name="_Toc426405569"/>
      <w:r w:rsidRPr="003428C4">
        <w:rPr>
          <w:rFonts w:eastAsia="Calibri"/>
          <w:spacing w:val="-1"/>
        </w:rPr>
        <w:t>Proofreading</w:t>
      </w:r>
      <w:r w:rsidRPr="00BE0B7F">
        <w:t xml:space="preserve"> of </w:t>
      </w:r>
      <w:r>
        <w:t>Written Assignments</w:t>
      </w:r>
      <w:bookmarkEnd w:id="10"/>
      <w:r w:rsidRPr="00BE0B7F">
        <w:t xml:space="preserve"> </w:t>
      </w:r>
    </w:p>
    <w:p w14:paraId="2934099A" w14:textId="2037BEFD" w:rsidR="00402D4E" w:rsidRDefault="00402D4E" w:rsidP="00244234">
      <w:pPr>
        <w:pStyle w:val="CoPNumberlevel1"/>
      </w:pPr>
      <w:r>
        <w:t>LSTM defines proofreading as “the correction of errors in spelling, punctuation, grammar and sentence construction, ref</w:t>
      </w:r>
      <w:r w:rsidR="00237D1E">
        <w:t>erencing, and idiomatic usage”.</w:t>
      </w:r>
    </w:p>
    <w:p w14:paraId="4C611F01" w14:textId="181E1A6C" w:rsidR="00402D4E" w:rsidRPr="00BE0B7F" w:rsidRDefault="00402D4E" w:rsidP="00244234">
      <w:pPr>
        <w:pStyle w:val="CoPNumberlevel1"/>
      </w:pPr>
      <w:r>
        <w:t xml:space="preserve">A student who employs a </w:t>
      </w:r>
      <w:proofErr w:type="spellStart"/>
      <w:r>
        <w:t>proofreader</w:t>
      </w:r>
      <w:proofErr w:type="spellEnd"/>
      <w:r>
        <w:t xml:space="preserve"> to revie</w:t>
      </w:r>
      <w:r w:rsidR="00616AD9">
        <w:t xml:space="preserve">w an assignment must follow the </w:t>
      </w:r>
      <w:r w:rsidRPr="00616AD9">
        <w:rPr>
          <w:i/>
        </w:rPr>
        <w:t>Guidelines for the use of</w:t>
      </w:r>
      <w:r w:rsidRPr="00302E95">
        <w:rPr>
          <w:i/>
        </w:rPr>
        <w:t xml:space="preserve"> </w:t>
      </w:r>
      <w:proofErr w:type="spellStart"/>
      <w:r w:rsidRPr="00302E95">
        <w:rPr>
          <w:i/>
        </w:rPr>
        <w:t>proofreaders</w:t>
      </w:r>
      <w:proofErr w:type="spellEnd"/>
      <w:r>
        <w:rPr>
          <w:i/>
        </w:rPr>
        <w:t xml:space="preserve">. </w:t>
      </w:r>
      <w:r w:rsidRPr="00302E95">
        <w:t xml:space="preserve"> </w:t>
      </w:r>
      <w:r>
        <w:t>Proofreading may include identifying and alerting the author to passages that lack clarity and may also extend to feedback on structural issues.  Proofreading does not include structural editing or revising/rewriting passages, which are the responsibility of the student alone.</w:t>
      </w:r>
    </w:p>
    <w:p w14:paraId="44EF3CD5" w14:textId="38FB8EEB" w:rsidR="00402D4E" w:rsidRDefault="00402D4E" w:rsidP="00244234">
      <w:pPr>
        <w:pStyle w:val="CoPNumberlevel1"/>
      </w:pPr>
      <w:r>
        <w:t xml:space="preserve">If a </w:t>
      </w:r>
      <w:proofErr w:type="spellStart"/>
      <w:r>
        <w:t>proofreader</w:t>
      </w:r>
      <w:proofErr w:type="spellEnd"/>
      <w:r>
        <w:t xml:space="preserve"> has been employed, the student must include a statement at the beginning of the assignment giving the </w:t>
      </w:r>
      <w:proofErr w:type="spellStart"/>
      <w:r>
        <w:t>proofreader’s</w:t>
      </w:r>
      <w:proofErr w:type="spellEnd"/>
      <w:r>
        <w:t xml:space="preserve"> name and relevant academ</w:t>
      </w:r>
      <w:r w:rsidR="00237D1E">
        <w:t>ic or professional experience.</w:t>
      </w:r>
    </w:p>
    <w:p w14:paraId="1902DA30" w14:textId="01AC5F5C" w:rsidR="00402D4E" w:rsidRDefault="00402D4E" w:rsidP="00244234">
      <w:pPr>
        <w:pStyle w:val="CoPNumberlevel1"/>
      </w:pPr>
      <w:r>
        <w:t xml:space="preserve">The contract between a student and a </w:t>
      </w:r>
      <w:proofErr w:type="spellStart"/>
      <w:r>
        <w:t>proofreader</w:t>
      </w:r>
      <w:proofErr w:type="spellEnd"/>
      <w:r>
        <w:t xml:space="preserve"> is a private matter and LSTM takes no responsibility for the quality o</w:t>
      </w:r>
      <w:r w:rsidR="00237D1E">
        <w:t xml:space="preserve">r cost of a </w:t>
      </w:r>
      <w:proofErr w:type="spellStart"/>
      <w:r w:rsidR="00237D1E">
        <w:t>proofreader’s</w:t>
      </w:r>
      <w:proofErr w:type="spellEnd"/>
      <w:r w:rsidR="00237D1E">
        <w:t xml:space="preserve"> work.</w:t>
      </w:r>
    </w:p>
    <w:p w14:paraId="286340AF" w14:textId="77777777" w:rsidR="009554F1" w:rsidRDefault="009554F1" w:rsidP="003428C4">
      <w:pPr>
        <w:pStyle w:val="CoPborderheading"/>
        <w:numPr>
          <w:ilvl w:val="0"/>
          <w:numId w:val="5"/>
        </w:numPr>
        <w:rPr>
          <w:rFonts w:hint="eastAsia"/>
        </w:rPr>
      </w:pPr>
      <w:bookmarkStart w:id="11" w:name="_Toc426405570"/>
      <w:r w:rsidRPr="003428C4">
        <w:rPr>
          <w:rFonts w:eastAsia="Calibri"/>
          <w:spacing w:val="-1"/>
        </w:rPr>
        <w:t>Examinations</w:t>
      </w:r>
      <w:bookmarkEnd w:id="11"/>
    </w:p>
    <w:p w14:paraId="02B53779" w14:textId="65C85692" w:rsidR="009554F1" w:rsidRPr="00237D1E" w:rsidRDefault="009554F1" w:rsidP="00244234">
      <w:pPr>
        <w:pStyle w:val="CoPNumberlevel1"/>
        <w:rPr>
          <w:u w:val="single"/>
        </w:rPr>
      </w:pPr>
      <w:r>
        <w:t xml:space="preserve">Formal examinations are governed by the </w:t>
      </w:r>
      <w:r w:rsidR="00137567" w:rsidRPr="00A25B5E">
        <w:rPr>
          <w:i/>
        </w:rPr>
        <w:t xml:space="preserve">Procedure </w:t>
      </w:r>
      <w:r w:rsidRPr="00A25B5E">
        <w:rPr>
          <w:i/>
        </w:rPr>
        <w:t>for the Conduct of Examinations</w:t>
      </w:r>
      <w:r>
        <w:t>.</w:t>
      </w:r>
    </w:p>
    <w:p w14:paraId="79B87C2E" w14:textId="544E5C23" w:rsidR="009554F1" w:rsidRDefault="009554F1" w:rsidP="00244234">
      <w:pPr>
        <w:pStyle w:val="CoPNumberlevel1"/>
      </w:pPr>
      <w:r>
        <w:t>Exam</w:t>
      </w:r>
      <w:r w:rsidR="0008729C">
        <w:t>ination</w:t>
      </w:r>
      <w:r>
        <w:t xml:space="preserve"> papers </w:t>
      </w:r>
      <w:r w:rsidR="0008729C">
        <w:t xml:space="preserve">must be </w:t>
      </w:r>
      <w:r>
        <w:t xml:space="preserve">processed with due regard to the security of the process.  Students </w:t>
      </w:r>
      <w:r w:rsidR="0008729C">
        <w:t xml:space="preserve">must </w:t>
      </w:r>
      <w:r>
        <w:t xml:space="preserve">not have access to areas where the printing of examination papers takes place and papers </w:t>
      </w:r>
      <w:r w:rsidR="0008729C">
        <w:t xml:space="preserve">must be </w:t>
      </w:r>
      <w:r>
        <w:t>kept securely before the exam</w:t>
      </w:r>
      <w:r w:rsidR="0008729C">
        <w:t>ination</w:t>
      </w:r>
      <w:r>
        <w:t xml:space="preserve"> takes place.  All staff involved with the examinations process </w:t>
      </w:r>
      <w:r w:rsidR="0095025C">
        <w:t xml:space="preserve">will be briefed to ensure that they are </w:t>
      </w:r>
      <w:r>
        <w:t>aware of the need for</w:t>
      </w:r>
      <w:r w:rsidR="00237D1E">
        <w:t xml:space="preserve"> confidentiality and security.</w:t>
      </w:r>
    </w:p>
    <w:p w14:paraId="6332367C" w14:textId="7B377D29" w:rsidR="00F24A4C" w:rsidRDefault="0095025C" w:rsidP="00244234">
      <w:pPr>
        <w:pStyle w:val="CoPNumberlevel1"/>
      </w:pPr>
      <w:r>
        <w:t xml:space="preserve">A student may request deferral of an examination in relation to circumstances that are serious, unavoidable and unforeseeable and that are likely to impact significantly on performance. </w:t>
      </w:r>
      <w:r w:rsidR="009554F1">
        <w:t xml:space="preserve">Requests for deferrals will </w:t>
      </w:r>
      <w:r w:rsidR="001D7DA9">
        <w:t xml:space="preserve">normally </w:t>
      </w:r>
      <w:r w:rsidR="009554F1">
        <w:t xml:space="preserve">be considered only up to 24 hours before the examination is </w:t>
      </w:r>
      <w:r>
        <w:t xml:space="preserve">scheduled.  </w:t>
      </w:r>
      <w:r w:rsidR="009554F1">
        <w:t>If a deferral is agreed, the student will be offered a re-sit (to count as a first sit) during the relevant re-</w:t>
      </w:r>
      <w:r>
        <w:t xml:space="preserve">assessment </w:t>
      </w:r>
      <w:r w:rsidR="009554F1">
        <w:t xml:space="preserve">period.  All requests to defer must be supported by valid evidence, either at the time of the request or as soon as possible afterwards.  Failure to provide evidence will result in a mark of zero being awarded for the missed </w:t>
      </w:r>
      <w:r w:rsidR="00ED2E4B">
        <w:t xml:space="preserve">examination </w:t>
      </w:r>
      <w:r w:rsidR="009554F1">
        <w:t xml:space="preserve">and the normal re-sit policy will apply.  </w:t>
      </w:r>
      <w:r w:rsidR="00F24A4C">
        <w:t>Requests to defer an examination must be authorised by the D</w:t>
      </w:r>
      <w:r w:rsidR="00571EA2">
        <w:t>ean</w:t>
      </w:r>
      <w:r w:rsidR="00F24A4C">
        <w:t xml:space="preserve"> of Education</w:t>
      </w:r>
      <w:r w:rsidR="00402D4E">
        <w:t xml:space="preserve"> or nominated representative</w:t>
      </w:r>
      <w:r w:rsidR="00F24A4C">
        <w:t>.</w:t>
      </w:r>
    </w:p>
    <w:p w14:paraId="2CC9E839" w14:textId="63ADA49B" w:rsidR="009554F1" w:rsidRPr="00EF0C35" w:rsidRDefault="00ED2E4B" w:rsidP="00244234">
      <w:pPr>
        <w:pStyle w:val="CoPNumberlevel1"/>
      </w:pPr>
      <w:r>
        <w:lastRenderedPageBreak/>
        <w:t xml:space="preserve">A student who misses an examination </w:t>
      </w:r>
      <w:r w:rsidR="00ED4B81">
        <w:t xml:space="preserve">and has not requested a deferral </w:t>
      </w:r>
      <w:r>
        <w:t>m</w:t>
      </w:r>
      <w:r w:rsidR="00ED4B81">
        <w:t>ay</w:t>
      </w:r>
      <w:r>
        <w:t xml:space="preserve"> </w:t>
      </w:r>
      <w:r w:rsidR="009554F1">
        <w:t>complete a c</w:t>
      </w:r>
      <w:r>
        <w:t xml:space="preserve">laim for </w:t>
      </w:r>
      <w:r w:rsidR="00F074DC">
        <w:t>extenu</w:t>
      </w:r>
      <w:r>
        <w:t>ating c</w:t>
      </w:r>
      <w:r w:rsidR="009554F1">
        <w:t>ircumstances</w:t>
      </w:r>
      <w:r>
        <w:t xml:space="preserve"> in line with the </w:t>
      </w:r>
      <w:r w:rsidR="00A25B5E" w:rsidRPr="00A25B5E">
        <w:rPr>
          <w:i/>
        </w:rPr>
        <w:t>P</w:t>
      </w:r>
      <w:r w:rsidRPr="00ED2E4B">
        <w:rPr>
          <w:i/>
        </w:rPr>
        <w:t xml:space="preserve">rocedure for Consideration of </w:t>
      </w:r>
      <w:r w:rsidR="00F074DC">
        <w:t>Extenu</w:t>
      </w:r>
      <w:r w:rsidRPr="008C7D36">
        <w:t>ating</w:t>
      </w:r>
      <w:r w:rsidRPr="00ED2E4B">
        <w:rPr>
          <w:i/>
        </w:rPr>
        <w:t xml:space="preserve"> Circumstances</w:t>
      </w:r>
      <w:r w:rsidR="009554F1">
        <w:t>.</w:t>
      </w:r>
      <w:r w:rsidR="00ED4B81">
        <w:t xml:space="preserve">  However, the </w:t>
      </w:r>
      <w:r w:rsidR="00F074DC">
        <w:t>Extenu</w:t>
      </w:r>
      <w:r w:rsidR="00ED4B81">
        <w:t>ating Circumstances Committee is likely to reject a claim where it considers there was no valid reason for the student being unable to request a deferral in advance.</w:t>
      </w:r>
    </w:p>
    <w:p w14:paraId="2253994E" w14:textId="4FBC9C7B" w:rsidR="009554F1" w:rsidRDefault="004B2F27" w:rsidP="003428C4">
      <w:pPr>
        <w:pStyle w:val="CoPborderheading"/>
        <w:numPr>
          <w:ilvl w:val="0"/>
          <w:numId w:val="5"/>
        </w:numPr>
        <w:rPr>
          <w:rFonts w:hint="eastAsia"/>
        </w:rPr>
      </w:pPr>
      <w:bookmarkStart w:id="12" w:name="_Toc426405571"/>
      <w:r w:rsidRPr="003428C4">
        <w:rPr>
          <w:rFonts w:eastAsia="Calibri"/>
          <w:spacing w:val="-1"/>
        </w:rPr>
        <w:t>Consideration</w:t>
      </w:r>
      <w:r>
        <w:t xml:space="preserve"> of </w:t>
      </w:r>
      <w:r w:rsidR="00F074DC">
        <w:t>Extenu</w:t>
      </w:r>
      <w:r w:rsidR="009554F1">
        <w:t>ating Circumstances</w:t>
      </w:r>
      <w:bookmarkEnd w:id="12"/>
    </w:p>
    <w:p w14:paraId="7C2D0279" w14:textId="0EB41FC8" w:rsidR="001A6B5B" w:rsidRDefault="00527065" w:rsidP="00244234">
      <w:pPr>
        <w:pStyle w:val="CoPNumberlevel1"/>
      </w:pPr>
      <w:r>
        <w:t xml:space="preserve">Students may request consideration of </w:t>
      </w:r>
      <w:r w:rsidR="00F074DC">
        <w:t>extenu</w:t>
      </w:r>
      <w:r>
        <w:t xml:space="preserve">ating circumstances in relation to circumstances that they believe have impacted significantly on their performance. </w:t>
      </w:r>
      <w:r w:rsidR="009554F1">
        <w:t xml:space="preserve">Independent evidence, such as </w:t>
      </w:r>
      <w:r>
        <w:t>a medical certificate</w:t>
      </w:r>
      <w:r w:rsidR="009554F1">
        <w:t xml:space="preserve">, must be provided to verify </w:t>
      </w:r>
      <w:r w:rsidR="00F074DC">
        <w:t>extenua</w:t>
      </w:r>
      <w:r w:rsidR="009554F1">
        <w:t>ting circumstances.</w:t>
      </w:r>
    </w:p>
    <w:p w14:paraId="65C4E48D" w14:textId="3327D771" w:rsidR="00951065" w:rsidRDefault="001A6B5B" w:rsidP="00244234">
      <w:pPr>
        <w:pStyle w:val="CoPNumberlevel1"/>
      </w:pPr>
      <w:r>
        <w:t xml:space="preserve">Claims will be considered in confidence by the </w:t>
      </w:r>
      <w:r w:rsidR="00F074DC">
        <w:t>Extenu</w:t>
      </w:r>
      <w:r>
        <w:t>ating Circumstances Committee</w:t>
      </w:r>
      <w:r w:rsidR="001F6F5E">
        <w:t xml:space="preserve"> (</w:t>
      </w:r>
      <w:r w:rsidR="00F074DC">
        <w:t>E</w:t>
      </w:r>
      <w:r w:rsidR="001F6F5E">
        <w:t xml:space="preserve">CC). </w:t>
      </w:r>
      <w:r w:rsidR="00951065">
        <w:t xml:space="preserve">External Examiners will be invited to attend meetings of the </w:t>
      </w:r>
      <w:r w:rsidR="00F074DC">
        <w:t>E</w:t>
      </w:r>
      <w:r w:rsidR="001F6F5E">
        <w:t xml:space="preserve">CC but if unable to </w:t>
      </w:r>
      <w:r w:rsidR="0003403D">
        <w:t xml:space="preserve">attend, they will be provided with the minutes. </w:t>
      </w:r>
      <w:r w:rsidR="00951065">
        <w:t>The Board of Examiners will be made aware that a claim has been accepted but there will be no d</w:t>
      </w:r>
      <w:r w:rsidR="00237D1E">
        <w:t>iscussion of the circumstances.</w:t>
      </w:r>
    </w:p>
    <w:p w14:paraId="4D80D428" w14:textId="6E0A2708" w:rsidR="003432C7" w:rsidRDefault="003432C7" w:rsidP="00244234">
      <w:pPr>
        <w:pStyle w:val="CoPNumberlevel1"/>
      </w:pPr>
      <w:r>
        <w:t xml:space="preserve">A claim for </w:t>
      </w:r>
      <w:r w:rsidR="00F074DC">
        <w:t>extenu</w:t>
      </w:r>
      <w:r>
        <w:t>ating circumstances will not normally be upheld if an extension</w:t>
      </w:r>
      <w:r w:rsidR="00612C31">
        <w:t xml:space="preserve"> to an assignment </w:t>
      </w:r>
      <w:r w:rsidR="00ED4B81">
        <w:t>or deferral of an examination</w:t>
      </w:r>
      <w:r>
        <w:t xml:space="preserve"> was granted </w:t>
      </w:r>
      <w:r w:rsidR="00237D1E">
        <w:t>or could have been requested.</w:t>
      </w:r>
    </w:p>
    <w:p w14:paraId="6257E1B0" w14:textId="769B792B" w:rsidR="00371D06" w:rsidRDefault="00843646" w:rsidP="00244234">
      <w:pPr>
        <w:pStyle w:val="CoPNumberlevel1"/>
      </w:pPr>
      <w:r>
        <w:t>For claims that are accepted, t</w:t>
      </w:r>
      <w:r w:rsidR="001A6B5B">
        <w:t xml:space="preserve">he </w:t>
      </w:r>
      <w:r w:rsidR="00F074DC">
        <w:t>E</w:t>
      </w:r>
      <w:r w:rsidR="00A4655B">
        <w:t>CC</w:t>
      </w:r>
      <w:r w:rsidR="001F6F5E">
        <w:t xml:space="preserve"> </w:t>
      </w:r>
      <w:r>
        <w:t xml:space="preserve">will make a recommendation to the Board of Examiners </w:t>
      </w:r>
      <w:r w:rsidR="00CD07BC">
        <w:t xml:space="preserve">on the impact of the </w:t>
      </w:r>
      <w:r w:rsidR="00F074DC">
        <w:t>extenu</w:t>
      </w:r>
      <w:r w:rsidR="00CD07BC">
        <w:t>ating circums</w:t>
      </w:r>
      <w:r w:rsidR="00A4655B">
        <w:t xml:space="preserve">tances and action to be taken </w:t>
      </w:r>
      <w:r>
        <w:t xml:space="preserve">in line with the </w:t>
      </w:r>
      <w:r w:rsidRPr="00CD07BC">
        <w:rPr>
          <w:i/>
        </w:rPr>
        <w:t xml:space="preserve">LSTM Code of Practice on </w:t>
      </w:r>
      <w:r w:rsidR="00777293">
        <w:rPr>
          <w:i/>
        </w:rPr>
        <w:t xml:space="preserve">Monitoring Student </w:t>
      </w:r>
      <w:r w:rsidRPr="00CD07BC">
        <w:rPr>
          <w:i/>
        </w:rPr>
        <w:t xml:space="preserve">Progression and </w:t>
      </w:r>
      <w:r w:rsidR="00777293">
        <w:rPr>
          <w:i/>
        </w:rPr>
        <w:t xml:space="preserve">the Conduct of </w:t>
      </w:r>
      <w:r w:rsidRPr="00CD07BC">
        <w:rPr>
          <w:i/>
        </w:rPr>
        <w:t>Boards of Examiners</w:t>
      </w:r>
      <w:r w:rsidR="00237D1E">
        <w:t>.</w:t>
      </w:r>
    </w:p>
    <w:p w14:paraId="607A1100" w14:textId="4C76FC69" w:rsidR="00A4655B" w:rsidRDefault="00A4655B" w:rsidP="00244234">
      <w:pPr>
        <w:pStyle w:val="CoPNumberlevel2"/>
      </w:pPr>
      <w:r>
        <w:t xml:space="preserve">If a student has met the criteria for an award, the </w:t>
      </w:r>
      <w:r w:rsidR="00F074DC">
        <w:t>E</w:t>
      </w:r>
      <w:r>
        <w:t xml:space="preserve">CC may recommend to the Board of Examiners that the student be </w:t>
      </w:r>
      <w:r w:rsidR="00FB3FEC">
        <w:t xml:space="preserve">given the choice of </w:t>
      </w:r>
      <w:r>
        <w:t>accepting the award at the level determined by the marks achieved or of re-</w:t>
      </w:r>
      <w:r w:rsidR="00431D1A">
        <w:t xml:space="preserve">sitting </w:t>
      </w:r>
      <w:r>
        <w:t>the affected assessment(s) with the possibility of improving the mark(s) and thereby the award.</w:t>
      </w:r>
      <w:r w:rsidR="00D40B14">
        <w:t xml:space="preserve">  </w:t>
      </w:r>
      <w:r w:rsidR="00273626">
        <w:t>A student who chooses not to re-sit shall have the option of the original mark(s) being flagged on the transcript as having been affect</w:t>
      </w:r>
      <w:r w:rsidR="00237D1E">
        <w:t xml:space="preserve">ed by </w:t>
      </w:r>
      <w:r w:rsidR="00F074DC">
        <w:t>extenu</w:t>
      </w:r>
      <w:r w:rsidR="00237D1E">
        <w:t>ating circumstances</w:t>
      </w:r>
    </w:p>
    <w:p w14:paraId="45EB14B3" w14:textId="0752A8DC" w:rsidR="00273626" w:rsidRDefault="00A4655B" w:rsidP="00244234">
      <w:pPr>
        <w:pStyle w:val="CoPNumberlevel2"/>
      </w:pPr>
      <w:r w:rsidRPr="00A4655B">
        <w:t>If a student h</w:t>
      </w:r>
      <w:r>
        <w:t xml:space="preserve">as not met the criteria for an </w:t>
      </w:r>
      <w:r w:rsidRPr="00A4655B">
        <w:t xml:space="preserve">award, the </w:t>
      </w:r>
      <w:r w:rsidR="00F074DC">
        <w:t>Extenu</w:t>
      </w:r>
      <w:r w:rsidRPr="00A4655B">
        <w:t>ating Circumstances Committee may recommend that the student be allowed to re-</w:t>
      </w:r>
      <w:r w:rsidR="00431D1A">
        <w:t xml:space="preserve">sit </w:t>
      </w:r>
      <w:r w:rsidRPr="00A4655B">
        <w:t>the failed assessment</w:t>
      </w:r>
      <w:r w:rsidR="00E50BF4">
        <w:t>(</w:t>
      </w:r>
      <w:r w:rsidRPr="00A4655B">
        <w:t>s</w:t>
      </w:r>
      <w:r w:rsidR="00E50BF4">
        <w:t>)</w:t>
      </w:r>
      <w:r w:rsidR="00237D1E">
        <w:t xml:space="preserve"> as ‘first attempts’</w:t>
      </w:r>
    </w:p>
    <w:p w14:paraId="6685FFDA" w14:textId="621E39CB" w:rsidR="00A4655B" w:rsidRDefault="00273626" w:rsidP="00244234">
      <w:pPr>
        <w:pStyle w:val="CoPNumberlevel2"/>
      </w:pPr>
      <w:r>
        <w:t xml:space="preserve">Under exceptional </w:t>
      </w:r>
      <w:r w:rsidRPr="00EC2AE1">
        <w:t>circumstances,</w:t>
      </w:r>
      <w:r w:rsidR="00402D4E" w:rsidRPr="00EC2AE1">
        <w:t xml:space="preserve"> and if the student has met t</w:t>
      </w:r>
      <w:r w:rsidR="00EC2AE1" w:rsidRPr="00EC2AE1">
        <w:t xml:space="preserve">he criteria </w:t>
      </w:r>
      <w:r w:rsidR="00653896">
        <w:t xml:space="preserve">for an </w:t>
      </w:r>
      <w:r w:rsidR="00402D4E" w:rsidRPr="00EC2AE1">
        <w:t>award,</w:t>
      </w:r>
      <w:r w:rsidRPr="00EC2AE1">
        <w:t xml:space="preserve"> t</w:t>
      </w:r>
      <w:r w:rsidR="00A4655B" w:rsidRPr="00EC2AE1">
        <w:t xml:space="preserve">he </w:t>
      </w:r>
      <w:r w:rsidR="00F074DC">
        <w:t>E</w:t>
      </w:r>
      <w:r w:rsidR="00A4655B" w:rsidRPr="00EC2AE1">
        <w:t>CC may</w:t>
      </w:r>
      <w:r w:rsidR="00A4655B">
        <w:t xml:space="preserve"> recommend to the Board of Examiners that the award is made at Merit (if applicable) or Distinction level without the student achieving the required marks in the affected assessment(s)</w:t>
      </w:r>
      <w:r w:rsidR="00AE23A9">
        <w:t>.</w:t>
      </w:r>
      <w:r w:rsidR="00431D1A">
        <w:t xml:space="preserve">  </w:t>
      </w:r>
      <w:r w:rsidR="00D40B14" w:rsidRPr="00AE23A9">
        <w:t>Under these circumstances</w:t>
      </w:r>
      <w:r w:rsidR="00AE23A9" w:rsidRPr="00AE23A9">
        <w:t>, a student will not be given the option of re-sitti</w:t>
      </w:r>
      <w:r w:rsidR="00237D1E">
        <w:t>ng the affected assessment(s)</w:t>
      </w:r>
    </w:p>
    <w:p w14:paraId="3DB52C75" w14:textId="39519817" w:rsidR="009B4404" w:rsidRDefault="00FB3FEC" w:rsidP="00244234">
      <w:pPr>
        <w:pStyle w:val="CoPNumberlevel2"/>
      </w:pPr>
      <w:r>
        <w:t>In the case of an assessment that counts for 20% or less of a total module mark, t</w:t>
      </w:r>
      <w:r w:rsidR="009B4404">
        <w:t xml:space="preserve">he </w:t>
      </w:r>
      <w:r w:rsidR="00F074DC">
        <w:t>E</w:t>
      </w:r>
      <w:r w:rsidR="009B4404">
        <w:t xml:space="preserve">CC may recommend that </w:t>
      </w:r>
      <w:r>
        <w:t xml:space="preserve">the student be given the choice of the </w:t>
      </w:r>
      <w:r>
        <w:lastRenderedPageBreak/>
        <w:t xml:space="preserve">mark being </w:t>
      </w:r>
      <w:r w:rsidR="009B4404">
        <w:t xml:space="preserve">discounted </w:t>
      </w:r>
      <w:r>
        <w:t xml:space="preserve">and the mark for the module being calculated on the basis of the other assessment(s) or of re-sitting the affected assessment.  The </w:t>
      </w:r>
      <w:r w:rsidR="00F074DC">
        <w:t>E</w:t>
      </w:r>
      <w:r>
        <w:t xml:space="preserve">CC may make this recommendation only if the </w:t>
      </w:r>
      <w:r w:rsidR="009B4404">
        <w:t>learning outcome</w:t>
      </w:r>
      <w:r w:rsidR="00237D1E">
        <w:t>s of the module have been met</w:t>
      </w:r>
    </w:p>
    <w:p w14:paraId="6A774B4F" w14:textId="49616D9B" w:rsidR="00951065" w:rsidRDefault="00951065" w:rsidP="00244234">
      <w:pPr>
        <w:pStyle w:val="CoPNumberlevel1"/>
      </w:pPr>
      <w:r>
        <w:t xml:space="preserve">A Board of Examiners is not permitted to alter any mark.  A student’s mark can only be </w:t>
      </w:r>
      <w:r w:rsidR="003432C7">
        <w:t xml:space="preserve">changed </w:t>
      </w:r>
      <w:r>
        <w:t>if they re-sit</w:t>
      </w:r>
      <w:r w:rsidR="00777293">
        <w:t xml:space="preserve"> or re-submit</w:t>
      </w:r>
      <w:r>
        <w:t xml:space="preserve"> the assessment.</w:t>
      </w:r>
      <w:r w:rsidR="003432C7" w:rsidRPr="003432C7">
        <w:t xml:space="preserve"> </w:t>
      </w:r>
      <w:r w:rsidR="003432C7">
        <w:t>The normal rules relating to re</w:t>
      </w:r>
      <w:r w:rsidR="00777293">
        <w:t>assessment</w:t>
      </w:r>
      <w:r w:rsidR="003432C7">
        <w:t xml:space="preserve"> marks shall apply (Section </w:t>
      </w:r>
      <w:r w:rsidR="0049136C">
        <w:t>1</w:t>
      </w:r>
      <w:r w:rsidR="00777293">
        <w:t>4</w:t>
      </w:r>
      <w:r w:rsidR="00237D1E">
        <w:t>).</w:t>
      </w:r>
    </w:p>
    <w:p w14:paraId="7D91087C" w14:textId="72F24193" w:rsidR="003432C7" w:rsidRDefault="003432C7" w:rsidP="00244234">
      <w:pPr>
        <w:pStyle w:val="CoPNumberlevel1"/>
      </w:pPr>
      <w:r>
        <w:t xml:space="preserve">It will not be possible to consider </w:t>
      </w:r>
      <w:r w:rsidR="00E647DC">
        <w:t>extenu</w:t>
      </w:r>
      <w:r>
        <w:t xml:space="preserve">ating circumstances once the Board of Examiners has </w:t>
      </w:r>
      <w:r w:rsidR="009B4404">
        <w:t xml:space="preserve">reached a </w:t>
      </w:r>
      <w:r>
        <w:t>deci</w:t>
      </w:r>
      <w:r w:rsidR="009B4404">
        <w:t xml:space="preserve">sion </w:t>
      </w:r>
      <w:r w:rsidR="00237D1E">
        <w:t>on the final award.</w:t>
      </w:r>
    </w:p>
    <w:p w14:paraId="3FFF87BD" w14:textId="77777777" w:rsidR="009554F1" w:rsidRPr="0015501D" w:rsidRDefault="009554F1" w:rsidP="003428C4">
      <w:pPr>
        <w:pStyle w:val="CoPborderheading"/>
        <w:numPr>
          <w:ilvl w:val="0"/>
          <w:numId w:val="5"/>
        </w:numPr>
        <w:rPr>
          <w:rFonts w:hint="eastAsia"/>
        </w:rPr>
      </w:pPr>
      <w:bookmarkStart w:id="13" w:name="_Toc426405572"/>
      <w:r w:rsidRPr="003428C4">
        <w:rPr>
          <w:rFonts w:eastAsia="Calibri"/>
          <w:spacing w:val="-1"/>
        </w:rPr>
        <w:t>Marking</w:t>
      </w:r>
      <w:bookmarkEnd w:id="13"/>
    </w:p>
    <w:p w14:paraId="362AECB0" w14:textId="1C1240D2" w:rsidR="009554F1" w:rsidRDefault="009554F1" w:rsidP="00244234">
      <w:pPr>
        <w:pStyle w:val="CoPNumberlevel1"/>
      </w:pPr>
      <w:r>
        <w:t>Each assignment which contributes to an award will have one or more internal examiners assig</w:t>
      </w:r>
      <w:r w:rsidR="008C2F53">
        <w:t>ned to it</w:t>
      </w:r>
      <w:r w:rsidR="00402D4E">
        <w:t>.</w:t>
      </w:r>
    </w:p>
    <w:p w14:paraId="169067D0" w14:textId="790D1DF6" w:rsidR="009554F1" w:rsidRDefault="009554F1" w:rsidP="00244234">
      <w:pPr>
        <w:pStyle w:val="CoPNumberlevel1"/>
      </w:pPr>
      <w:r>
        <w:t xml:space="preserve">Examinations and written assignments are </w:t>
      </w:r>
      <w:r w:rsidR="00AC7DE2">
        <w:t xml:space="preserve">normally </w:t>
      </w:r>
      <w:r w:rsidR="00237D1E">
        <w:t xml:space="preserve">marked anonymously.  </w:t>
      </w:r>
      <w:r w:rsidR="00E50BF4">
        <w:t>However, t</w:t>
      </w:r>
      <w:r>
        <w:t xml:space="preserve">he MSc dissertation is not </w:t>
      </w:r>
      <w:r w:rsidR="00E50BF4">
        <w:t>marked anonymously</w:t>
      </w:r>
      <w:r>
        <w:t>, due to the close involvement o</w:t>
      </w:r>
      <w:r w:rsidR="008C2F53">
        <w:t>f the supervisor in the project</w:t>
      </w:r>
      <w:r w:rsidR="00237D1E">
        <w:t>.</w:t>
      </w:r>
    </w:p>
    <w:p w14:paraId="2B899C07" w14:textId="23D180B1" w:rsidR="009554F1" w:rsidRDefault="00AC7DE2" w:rsidP="00244234">
      <w:pPr>
        <w:pStyle w:val="CoPNumberlevel1"/>
      </w:pPr>
      <w:r>
        <w:t>Markers</w:t>
      </w:r>
      <w:r w:rsidR="009554F1">
        <w:t xml:space="preserve"> are responsible for reading and interpreting similarity reports in the VLE and </w:t>
      </w:r>
      <w:r>
        <w:t>referring any suspected breaches of academic integrity to the Academic Registrar</w:t>
      </w:r>
      <w:r w:rsidR="009554F1">
        <w:t xml:space="preserve">.  </w:t>
      </w:r>
      <w:r>
        <w:t>More infor</w:t>
      </w:r>
      <w:r w:rsidR="00A25B5E">
        <w:t xml:space="preserve">mation can be found in the </w:t>
      </w:r>
      <w:r w:rsidR="009554F1" w:rsidRPr="009823DC">
        <w:rPr>
          <w:i/>
        </w:rPr>
        <w:t xml:space="preserve">Code of Practice on Academic </w:t>
      </w:r>
      <w:r w:rsidR="009554F1" w:rsidRPr="0049136C">
        <w:rPr>
          <w:i/>
        </w:rPr>
        <w:t>Integrit</w:t>
      </w:r>
      <w:r w:rsidR="008C2F53">
        <w:t>y</w:t>
      </w:r>
      <w:r w:rsidR="00402D4E">
        <w:t>.</w:t>
      </w:r>
    </w:p>
    <w:p w14:paraId="38653DCB" w14:textId="07436A8B" w:rsidR="00B24B16" w:rsidRDefault="00E50BF4" w:rsidP="00244234">
      <w:pPr>
        <w:pStyle w:val="CoPNumberlevel1"/>
      </w:pPr>
      <w:r>
        <w:t>When marking assignments, t</w:t>
      </w:r>
      <w:r w:rsidR="009554F1">
        <w:t>eaching staff are encouraged to use on-line marking and feedback wherever possible</w:t>
      </w:r>
      <w:r w:rsidR="00734C64">
        <w:t>.</w:t>
      </w:r>
    </w:p>
    <w:p w14:paraId="76A08EB2" w14:textId="405B19DB" w:rsidR="00B24B16" w:rsidRDefault="00B24B16" w:rsidP="00244234">
      <w:pPr>
        <w:pStyle w:val="CoPNumberlevel1"/>
      </w:pPr>
      <w:r>
        <w:t>Research students may assist with marking assignments but in such cases, all assignments must be moderated or double marked by a member of LSTM teaching staff</w:t>
      </w:r>
      <w:r w:rsidR="00237D1E">
        <w:t>.</w:t>
      </w:r>
    </w:p>
    <w:p w14:paraId="668D3547" w14:textId="77777777" w:rsidR="009554F1" w:rsidRDefault="009554F1" w:rsidP="00244234">
      <w:pPr>
        <w:pStyle w:val="CoPNumberlevel1"/>
      </w:pPr>
      <w:r>
        <w:t xml:space="preserve">Moderation </w:t>
      </w:r>
    </w:p>
    <w:p w14:paraId="5241E36C" w14:textId="01FBCBB7" w:rsidR="009554F1" w:rsidRDefault="009554F1" w:rsidP="00244234">
      <w:pPr>
        <w:pStyle w:val="CoPNumberlevel2"/>
      </w:pPr>
      <w:r>
        <w:t xml:space="preserve">Moderation is the sampling of assessed work to check whether or not the standards are appropriate and have been applied consistently.  Moderators </w:t>
      </w:r>
      <w:r w:rsidR="00B24B16">
        <w:t>are asked to confirm that appropriateness of the mark</w:t>
      </w:r>
      <w:r w:rsidR="00287DBF">
        <w:t xml:space="preserve"> </w:t>
      </w:r>
      <w:r>
        <w:t>awarded by the marker and comment on their perceived quality of the feedback to students.  Individual marks may not be changed on the basis of moderating a sample since a student could be advantaged or disadvantaged depending on whether or not their assessment was</w:t>
      </w:r>
      <w:r w:rsidR="008C2F53">
        <w:t xml:space="preserve"> sampled</w:t>
      </w:r>
    </w:p>
    <w:p w14:paraId="44BE7F06" w14:textId="33C2E733" w:rsidR="009554F1" w:rsidRDefault="009554F1" w:rsidP="00244234">
      <w:pPr>
        <w:pStyle w:val="CoPNumberlevel2"/>
      </w:pPr>
      <w:r w:rsidRPr="007E1EC5">
        <w:t>Any</w:t>
      </w:r>
      <w:r>
        <w:t xml:space="preserve"> component of the assessment of a module that contributes 20% or more to the overall module mark must be moderated</w:t>
      </w:r>
    </w:p>
    <w:p w14:paraId="59485852" w14:textId="572C6073" w:rsidR="009554F1" w:rsidRDefault="009554F1" w:rsidP="00244234">
      <w:pPr>
        <w:pStyle w:val="CoPNumberlevel2"/>
      </w:pPr>
      <w:r>
        <w:t xml:space="preserve">Moderation should take place where assessments are marked by a single marker.  It can be applied to coursework assignments, entire exam scripts or individual exam questions.  It is possible to use moderation if more than one marker is involved provided there is a clear process in place.  For example, if </w:t>
      </w:r>
      <w:r>
        <w:lastRenderedPageBreak/>
        <w:t>an assignment is completed by a large number of students, the marking could be split across two markers.  Consistency could then be achieved by each marking half the assignment</w:t>
      </w:r>
      <w:r w:rsidR="008C2F53">
        <w:t>s and moderating the other half</w:t>
      </w:r>
    </w:p>
    <w:p w14:paraId="47713122" w14:textId="5C7D1336" w:rsidR="009554F1" w:rsidRDefault="009554F1" w:rsidP="00244234">
      <w:pPr>
        <w:pStyle w:val="CoPNumberlevel2"/>
      </w:pPr>
      <w:r>
        <w:t>The moderation sample must be at least 25% of the total number of assessments or at least ten scripts, whichever is the larger.  If less than ten scripts are available, all should be moderated.  The sample must include scripts covering the range of achievement (</w:t>
      </w:r>
      <w:proofErr w:type="spellStart"/>
      <w:r>
        <w:t>ie</w:t>
      </w:r>
      <w:proofErr w:type="spellEnd"/>
      <w:r>
        <w:t xml:space="preserve"> Distinction, Merit, Pass and Fail) and not just focus on </w:t>
      </w:r>
      <w:r w:rsidR="008C2F53">
        <w:t>borderline assessments or Fails</w:t>
      </w:r>
    </w:p>
    <w:p w14:paraId="5C76BC0B" w14:textId="4383BF9B" w:rsidR="009554F1" w:rsidRDefault="003B72D2" w:rsidP="00244234">
      <w:pPr>
        <w:pStyle w:val="CoPNumberlevel2"/>
      </w:pPr>
      <w:r>
        <w:t>In a</w:t>
      </w:r>
      <w:r w:rsidR="009554F1">
        <w:t xml:space="preserve"> moderated sample, </w:t>
      </w:r>
      <w:r>
        <w:t>if</w:t>
      </w:r>
      <w:r w:rsidR="009554F1">
        <w:t xml:space="preserve"> moderation reveals systematic differences between the marker and the moderator for a significant portion of the sampled work</w:t>
      </w:r>
      <w:r>
        <w:t xml:space="preserve">, </w:t>
      </w:r>
      <w:r w:rsidR="009554F1">
        <w:t>cases should be referred to the D</w:t>
      </w:r>
      <w:r w:rsidR="00571EA2">
        <w:t>ean</w:t>
      </w:r>
      <w:r w:rsidR="009554F1">
        <w:t xml:space="preserve"> of Education.  A decision will be made either to double mark all assessments or </w:t>
      </w:r>
      <w:r>
        <w:t xml:space="preserve">to </w:t>
      </w:r>
      <w:r w:rsidR="009554F1">
        <w:t>double mark</w:t>
      </w:r>
      <w:r>
        <w:t xml:space="preserve"> </w:t>
      </w:r>
      <w:r w:rsidR="009554F1">
        <w:t>all assessm</w:t>
      </w:r>
      <w:r w:rsidR="008C2F53">
        <w:t>ents at a particular borderline</w:t>
      </w:r>
    </w:p>
    <w:p w14:paraId="25C89BB3" w14:textId="5683FBDF" w:rsidR="0093643F" w:rsidRDefault="0093643F" w:rsidP="00244234">
      <w:pPr>
        <w:pStyle w:val="CoPNumberlevel2"/>
      </w:pPr>
      <w:r>
        <w:t xml:space="preserve">Further information on moderation can be found in the </w:t>
      </w:r>
      <w:r w:rsidR="00A25B5E" w:rsidRPr="00965180">
        <w:rPr>
          <w:i/>
        </w:rPr>
        <w:t xml:space="preserve">Procedure </w:t>
      </w:r>
      <w:r w:rsidRPr="00965180">
        <w:rPr>
          <w:i/>
        </w:rPr>
        <w:t>for Double Marking</w:t>
      </w:r>
      <w:r w:rsidR="00A25B5E" w:rsidRPr="00965180">
        <w:rPr>
          <w:i/>
        </w:rPr>
        <w:t xml:space="preserve"> and M</w:t>
      </w:r>
      <w:r w:rsidRPr="00965180">
        <w:rPr>
          <w:i/>
        </w:rPr>
        <w:t xml:space="preserve">oderation of </w:t>
      </w:r>
      <w:r w:rsidR="00237D1E" w:rsidRPr="00965180">
        <w:rPr>
          <w:i/>
        </w:rPr>
        <w:t>Taught Postgraduate Assessments</w:t>
      </w:r>
    </w:p>
    <w:p w14:paraId="5218D1E7" w14:textId="77777777" w:rsidR="009554F1" w:rsidRPr="00A77B6C" w:rsidRDefault="009554F1" w:rsidP="00244234">
      <w:pPr>
        <w:pStyle w:val="CoPNumberlevel1"/>
      </w:pPr>
      <w:r w:rsidRPr="00A77B6C">
        <w:t>Double Marking</w:t>
      </w:r>
    </w:p>
    <w:p w14:paraId="1D3977F1" w14:textId="7617B571" w:rsidR="009554F1" w:rsidRDefault="009554F1" w:rsidP="00244234">
      <w:pPr>
        <w:pStyle w:val="CoPNumberlevel2"/>
      </w:pPr>
      <w:r>
        <w:t>Double marking involves two markers independently assessing a piece of student work and assigning an agreed mark.  The first marker will normally be the person who set the assessment.  In cases where several staff are involved in setting the assessment, an Assessment Lead (normally the Module Convenor) will be nominated.  The designated Assessment Lead will be responsible for c</w:t>
      </w:r>
      <w:r w:rsidR="008C2F53">
        <w:t>ollating marks from all markers</w:t>
      </w:r>
    </w:p>
    <w:p w14:paraId="40BB170B" w14:textId="06989C53" w:rsidR="009554F1" w:rsidRDefault="009554F1" w:rsidP="00244234">
      <w:pPr>
        <w:pStyle w:val="CoPNumberlevel2"/>
      </w:pPr>
      <w:r>
        <w:t>Double marking can be blind (the two markers do not see each other’s marks/comments) or non-blind (the second marker has access to the first marker’s comments)</w:t>
      </w:r>
    </w:p>
    <w:p w14:paraId="646FC734" w14:textId="27B1E1C3" w:rsidR="009554F1" w:rsidRDefault="009554F1" w:rsidP="00244234">
      <w:pPr>
        <w:pStyle w:val="CoPNumberlevel2"/>
      </w:pPr>
      <w:r>
        <w:t xml:space="preserve">All dissertations/major projects, assignments involving </w:t>
      </w:r>
      <w:r w:rsidR="0093643F">
        <w:t>more than two</w:t>
      </w:r>
      <w:r>
        <w:t xml:space="preserve"> markers, presentations or similar as</w:t>
      </w:r>
      <w:r w:rsidR="008C2F53">
        <w:t>sessments must be double marked</w:t>
      </w:r>
    </w:p>
    <w:p w14:paraId="2F39F74C" w14:textId="1F13C048" w:rsidR="009554F1" w:rsidRDefault="009554F1" w:rsidP="00244234">
      <w:pPr>
        <w:pStyle w:val="CoPNumberlevel2"/>
      </w:pPr>
      <w:r>
        <w:t xml:space="preserve">Where there a disagreement over a single mark, the two examiners should resolve this between themselves if possible and </w:t>
      </w:r>
      <w:r w:rsidR="003B72D2">
        <w:t xml:space="preserve">make </w:t>
      </w:r>
      <w:r>
        <w:t>a note on the mark sheet as to the justification for the agreed mark.   Markers should not just record an average of the two marks.  Should it prove impossible for the two markers to agree on a mark, the D</w:t>
      </w:r>
      <w:r w:rsidR="00571EA2">
        <w:t>ean</w:t>
      </w:r>
      <w:r>
        <w:t xml:space="preserve"> of Educati</w:t>
      </w:r>
      <w:r w:rsidR="008C2F53">
        <w:t>on will nominate a third marker</w:t>
      </w:r>
    </w:p>
    <w:p w14:paraId="7F584CA6" w14:textId="7E409209" w:rsidR="0093643F" w:rsidRPr="007B25C4" w:rsidRDefault="0093643F" w:rsidP="00244234">
      <w:pPr>
        <w:pStyle w:val="CoPNumberlevel2"/>
      </w:pPr>
      <w:r>
        <w:t xml:space="preserve">Further information on double marking can be found in the </w:t>
      </w:r>
      <w:r w:rsidR="00965180" w:rsidRPr="00965180">
        <w:rPr>
          <w:i/>
        </w:rPr>
        <w:t>Procedure</w:t>
      </w:r>
      <w:r w:rsidRPr="00965180">
        <w:rPr>
          <w:i/>
        </w:rPr>
        <w:t xml:space="preserve"> for Double Marking/Moderation of Taught Postgraduate Assessmen</w:t>
      </w:r>
      <w:r w:rsidR="00237D1E" w:rsidRPr="00965180">
        <w:rPr>
          <w:i/>
        </w:rPr>
        <w:t>ts</w:t>
      </w:r>
    </w:p>
    <w:p w14:paraId="5DD0FD8B" w14:textId="77777777" w:rsidR="009554F1" w:rsidRPr="00A92FA1" w:rsidRDefault="009554F1" w:rsidP="00244234">
      <w:pPr>
        <w:pStyle w:val="CoPNumberlevel1"/>
      </w:pPr>
      <w:r w:rsidRPr="00A92FA1">
        <w:t>Recording of marks</w:t>
      </w:r>
    </w:p>
    <w:p w14:paraId="2DD5A6BC" w14:textId="33B70F4F" w:rsidR="009554F1" w:rsidRDefault="009554F1" w:rsidP="00244234">
      <w:pPr>
        <w:pStyle w:val="CoPNumberlevel2"/>
      </w:pPr>
      <w:r>
        <w:t xml:space="preserve">A designated member of staff from the Quality Unit is responsible for recording agreed marks and for informing the students when feedback and marks are available.  S/he will also record instances of late submission </w:t>
      </w:r>
      <w:r w:rsidR="008C2F53">
        <w:t>and apply appropriate penalties</w:t>
      </w:r>
    </w:p>
    <w:p w14:paraId="5903BFD8" w14:textId="10D3124F" w:rsidR="00400CFC" w:rsidRDefault="00400CFC" w:rsidP="00244234">
      <w:pPr>
        <w:pStyle w:val="CoPNumberlevel2"/>
      </w:pPr>
      <w:r>
        <w:t>The Academic Registrar will advise the Quality Unit on any penalties to be applied due to academic integrity issues</w:t>
      </w:r>
    </w:p>
    <w:p w14:paraId="786A3BA2" w14:textId="0C72148E" w:rsidR="009554F1" w:rsidRDefault="009554F1" w:rsidP="00244234">
      <w:pPr>
        <w:pStyle w:val="CoPNumberlevel2"/>
      </w:pPr>
      <w:r>
        <w:lastRenderedPageBreak/>
        <w:t xml:space="preserve">Marks are provisional until they have been agreed by the final Board of Examiners for the </w:t>
      </w:r>
      <w:r w:rsidR="00400CFC">
        <w:t>programme</w:t>
      </w:r>
    </w:p>
    <w:p w14:paraId="1E7E9EAE" w14:textId="2FCAF4DC" w:rsidR="009554F1" w:rsidRDefault="00921498" w:rsidP="003428C4">
      <w:pPr>
        <w:pStyle w:val="CoPborderheading"/>
        <w:numPr>
          <w:ilvl w:val="0"/>
          <w:numId w:val="5"/>
        </w:numPr>
        <w:rPr>
          <w:rFonts w:hint="eastAsia"/>
        </w:rPr>
      </w:pPr>
      <w:bookmarkStart w:id="14" w:name="_Toc426405573"/>
      <w:r w:rsidRPr="003428C4">
        <w:rPr>
          <w:rFonts w:eastAsia="Calibri"/>
          <w:spacing w:val="-1"/>
        </w:rPr>
        <w:t>Marking</w:t>
      </w:r>
      <w:r w:rsidR="009554F1">
        <w:t xml:space="preserve"> Criteria and </w:t>
      </w:r>
      <w:r>
        <w:t>Pass Mark</w:t>
      </w:r>
      <w:bookmarkEnd w:id="14"/>
    </w:p>
    <w:p w14:paraId="09CDF68F" w14:textId="5D54080B" w:rsidR="00921498" w:rsidRDefault="00921498" w:rsidP="00244234">
      <w:pPr>
        <w:pStyle w:val="CoPNumberlevel1"/>
      </w:pPr>
      <w:r>
        <w:t xml:space="preserve">For credit-bearing programmes, a rubric-based approach is taken to marking of all assignments.  The rubric sets out criteria for levels of achievement to be met in order to </w:t>
      </w:r>
      <w:r w:rsidR="00232308">
        <w:t xml:space="preserve">be awarded Pass, </w:t>
      </w:r>
      <w:r>
        <w:t>Merit</w:t>
      </w:r>
      <w:r w:rsidR="00232308">
        <w:t xml:space="preserve"> (if applicable) or</w:t>
      </w:r>
      <w:r>
        <w:t xml:space="preserve"> Distinction</w:t>
      </w:r>
      <w:r w:rsidR="00232308">
        <w:t>.</w:t>
      </w:r>
    </w:p>
    <w:p w14:paraId="6BF6533B" w14:textId="058EA1C4" w:rsidR="00232308" w:rsidRPr="007F503A" w:rsidRDefault="00232308" w:rsidP="00244234">
      <w:pPr>
        <w:pStyle w:val="CoPNumberlevel1"/>
      </w:pPr>
      <w:r w:rsidRPr="007F503A">
        <w:t xml:space="preserve">For all programmes the overall pass mark is 50%.  In the </w:t>
      </w:r>
      <w:r w:rsidRPr="006023B5">
        <w:t>case of MSc programmes,</w:t>
      </w:r>
      <w:r w:rsidRPr="007F503A">
        <w:t xml:space="preserve"> the pass mark for each module and the dissertation is 50%</w:t>
      </w:r>
      <w:r>
        <w:t xml:space="preserve">.  Where </w:t>
      </w:r>
      <w:r w:rsidRPr="007F503A">
        <w:t xml:space="preserve">there is more than one </w:t>
      </w:r>
      <w:r>
        <w:t xml:space="preserve">assessment </w:t>
      </w:r>
      <w:r w:rsidRPr="007F503A">
        <w:t xml:space="preserve">component for a module, </w:t>
      </w:r>
      <w:r>
        <w:t xml:space="preserve">it </w:t>
      </w:r>
      <w:r w:rsidR="004D6584">
        <w:t xml:space="preserve">is not </w:t>
      </w:r>
      <w:r>
        <w:t>necessary to pass every assessment,</w:t>
      </w:r>
      <w:r w:rsidR="00A77CE3">
        <w:t xml:space="preserve"> provided the overall average mark achieved is 50% or over. </w:t>
      </w:r>
      <w:r w:rsidR="004D6584">
        <w:t xml:space="preserve">Assessments may be weighted differently, allowing students to compensate for failure in a particular assignment by gaining a higher mark in a more heavily weighted assignment.  </w:t>
      </w:r>
      <w:r>
        <w:t>Additional requirements, such as criteria for named and unnamed awards, are outlined in the programme specification.</w:t>
      </w:r>
    </w:p>
    <w:p w14:paraId="55554C65" w14:textId="0F8B3360" w:rsidR="00921498" w:rsidRDefault="00232308" w:rsidP="00244234">
      <w:pPr>
        <w:pStyle w:val="CoPNumberlevel1"/>
      </w:pPr>
      <w:r w:rsidRPr="007F503A">
        <w:t xml:space="preserve">In the case of </w:t>
      </w:r>
      <w:r w:rsidR="004D6584">
        <w:t>non-credit-bearing programmes</w:t>
      </w:r>
      <w:r w:rsidRPr="007F503A">
        <w:t xml:space="preserve"> which are assessed, where there is more than one component of assessment within the course, the overall pass mark is 50%</w:t>
      </w:r>
      <w:r>
        <w:t xml:space="preserve"> and students must normally gain a minimum mark of 40% in each component.  Exceptions must be stated in the programme specification.</w:t>
      </w:r>
    </w:p>
    <w:p w14:paraId="7A9A312E" w14:textId="6A3EAEA8" w:rsidR="009554F1" w:rsidRDefault="009554F1" w:rsidP="00244234">
      <w:pPr>
        <w:pStyle w:val="CoPNumberlevel1"/>
      </w:pPr>
      <w:r>
        <w:t>Students will be given clear information about which learning outcomes are being tested by assignments, the purpose of the assignment, criteria to be used in allocating marks, proportion of the marks allocated to different parts of the assessment (if appropriate), the proportion of the total marks for the module which the assessment represents (if appropriate), and whether or not failure in the assessment may be compensated for by higher marks in other components of the module</w:t>
      </w:r>
      <w:r w:rsidR="00EF35B9">
        <w:t xml:space="preserve"> </w:t>
      </w:r>
      <w:r w:rsidR="008C2F53">
        <w:t>(if applicable)</w:t>
      </w:r>
      <w:r w:rsidR="00237D1E">
        <w:t>.</w:t>
      </w:r>
    </w:p>
    <w:p w14:paraId="444F00C6" w14:textId="77777777" w:rsidR="002551D1" w:rsidRDefault="002551D1" w:rsidP="003428C4">
      <w:pPr>
        <w:pStyle w:val="CoPborderheading"/>
        <w:numPr>
          <w:ilvl w:val="0"/>
          <w:numId w:val="5"/>
        </w:numPr>
        <w:rPr>
          <w:rFonts w:hint="eastAsia"/>
        </w:rPr>
      </w:pPr>
      <w:bookmarkStart w:id="15" w:name="_Toc426405574"/>
      <w:r w:rsidRPr="003428C4">
        <w:rPr>
          <w:rFonts w:eastAsia="Calibri"/>
          <w:spacing w:val="-1"/>
        </w:rPr>
        <w:t>Compensation</w:t>
      </w:r>
      <w:bookmarkEnd w:id="15"/>
      <w:r>
        <w:t xml:space="preserve"> </w:t>
      </w:r>
    </w:p>
    <w:p w14:paraId="25DD961B" w14:textId="3D0D80D0" w:rsidR="002551D1" w:rsidRPr="00653896" w:rsidRDefault="002551D1" w:rsidP="00244234">
      <w:pPr>
        <w:pStyle w:val="CoPNumberlevel1"/>
      </w:pPr>
      <w:r>
        <w:t xml:space="preserve">For </w:t>
      </w:r>
      <w:r w:rsidRPr="00616AD9">
        <w:t>MSc programmes, where</w:t>
      </w:r>
      <w:r>
        <w:t xml:space="preserve"> the average of the total marks is 50% or above, students can still qualify for the award of Certificate, Diploma or Master</w:t>
      </w:r>
      <w:r w:rsidR="00A25B5E">
        <w:t>’</w:t>
      </w:r>
      <w:r>
        <w:t xml:space="preserve">s, without re-sitting, with a mark of 40-49% for one module of </w:t>
      </w:r>
      <w:r w:rsidRPr="005F7209">
        <w:t>20 credits</w:t>
      </w:r>
      <w:r>
        <w:t>, or for two 10 credit modules</w:t>
      </w:r>
      <w:r w:rsidRPr="005F7209">
        <w:t>.</w:t>
      </w:r>
      <w:r>
        <w:t xml:space="preserve">  </w:t>
      </w:r>
      <w:r w:rsidR="00E97777">
        <w:t>A student who has failed a module with a mark below the compensation range will qualify for compensation on re-sit, provide the mark for the resit falls in the range of 40-49%.</w:t>
      </w:r>
      <w:r>
        <w:t xml:space="preserve">  Students with </w:t>
      </w:r>
      <w:proofErr w:type="spellStart"/>
      <w:r>
        <w:t>compensatable</w:t>
      </w:r>
      <w:proofErr w:type="spellEnd"/>
      <w:r>
        <w:t xml:space="preserve"> fails are eligible for the award of Merit or Distinction provided they meet the other award </w:t>
      </w:r>
      <w:r w:rsidRPr="00653896">
        <w:t>criteria</w:t>
      </w:r>
      <w:r w:rsidR="00DD001D">
        <w:t xml:space="preserve">. </w:t>
      </w:r>
      <w:r w:rsidR="00A11E5B" w:rsidRPr="00653896">
        <w:t>Compensation marks are raised to 50% for the purposes of calculating the award</w:t>
      </w:r>
      <w:r w:rsidRPr="00653896">
        <w:t xml:space="preserve"> (see </w:t>
      </w:r>
      <w:r w:rsidRPr="00777293">
        <w:t xml:space="preserve">Section </w:t>
      </w:r>
      <w:r w:rsidR="001968D2" w:rsidRPr="00777293">
        <w:t>1</w:t>
      </w:r>
      <w:r w:rsidR="00777293" w:rsidRPr="00777293">
        <w:t>8</w:t>
      </w:r>
      <w:r w:rsidRPr="00653896">
        <w:t>).</w:t>
      </w:r>
    </w:p>
    <w:p w14:paraId="40D44C0C" w14:textId="36ABBBF6" w:rsidR="002551D1" w:rsidRDefault="002551D1" w:rsidP="003428C4">
      <w:pPr>
        <w:pStyle w:val="CoPborderheading"/>
        <w:numPr>
          <w:ilvl w:val="0"/>
          <w:numId w:val="5"/>
        </w:numPr>
        <w:rPr>
          <w:rFonts w:hint="eastAsia"/>
        </w:rPr>
      </w:pPr>
      <w:bookmarkStart w:id="16" w:name="_Toc426405575"/>
      <w:r w:rsidRPr="003428C4">
        <w:rPr>
          <w:rFonts w:eastAsia="Calibri"/>
          <w:spacing w:val="-1"/>
        </w:rPr>
        <w:lastRenderedPageBreak/>
        <w:t>Re</w:t>
      </w:r>
      <w:r w:rsidR="00E97777" w:rsidRPr="003428C4">
        <w:rPr>
          <w:rFonts w:eastAsia="Calibri"/>
          <w:spacing w:val="-1"/>
        </w:rPr>
        <w:t>assessment</w:t>
      </w:r>
      <w:bookmarkEnd w:id="16"/>
    </w:p>
    <w:p w14:paraId="63182DF8" w14:textId="311DC2EB" w:rsidR="002551D1" w:rsidRDefault="002551D1" w:rsidP="00244234">
      <w:pPr>
        <w:pStyle w:val="CoPNumberlevel1"/>
      </w:pPr>
      <w:r>
        <w:t>For all programmes, students are normally offered one re</w:t>
      </w:r>
      <w:r w:rsidR="00E97777">
        <w:t>assessment</w:t>
      </w:r>
      <w:r>
        <w:t xml:space="preserve"> opportunity for each failed component. Where there are several assessment components for a module (MSc programmes), the </w:t>
      </w:r>
      <w:r w:rsidR="009323AC">
        <w:t>Board of Examiners</w:t>
      </w:r>
      <w:r>
        <w:t xml:space="preserve"> will determine which element(s) of a failed module shall be offered as re-sit(s).  </w:t>
      </w:r>
      <w:r w:rsidR="009823DC">
        <w:t>The Board of Examiners may extend the dissertation deadline by up to three months for students requiring reassessment in multiple components.</w:t>
      </w:r>
    </w:p>
    <w:p w14:paraId="31A87210" w14:textId="3A0E3CE5" w:rsidR="002551D1" w:rsidRDefault="002551D1" w:rsidP="00244234">
      <w:pPr>
        <w:pStyle w:val="CoPNumberlevel1"/>
      </w:pPr>
      <w:r>
        <w:t xml:space="preserve">Students may not re-sit or re-submit assessments where they have achieved a mark of 50% or above, or where they have passed the module or course overall (except in the case of </w:t>
      </w:r>
      <w:r w:rsidR="00F074DC">
        <w:t>extenu</w:t>
      </w:r>
      <w:r>
        <w:t>ating circumstances (see Section 1</w:t>
      </w:r>
      <w:r w:rsidR="001968D2">
        <w:t>0</w:t>
      </w:r>
      <w:r w:rsidR="00237D1E">
        <w:t>).</w:t>
      </w:r>
    </w:p>
    <w:p w14:paraId="262CAA07" w14:textId="5224686A" w:rsidR="002551D1" w:rsidRDefault="002551D1" w:rsidP="00244234">
      <w:pPr>
        <w:pStyle w:val="CoPNumberlevel1"/>
      </w:pPr>
      <w:r>
        <w:t>Re</w:t>
      </w:r>
      <w:r w:rsidR="00E97777">
        <w:t>assessments</w:t>
      </w:r>
      <w:r>
        <w:t xml:space="preserve"> for MSc</w:t>
      </w:r>
      <w:r w:rsidR="00E97777">
        <w:t xml:space="preserve"> taught</w:t>
      </w:r>
      <w:r>
        <w:t xml:space="preserve"> modules will normally be held </w:t>
      </w:r>
      <w:r w:rsidR="00DD001D">
        <w:t xml:space="preserve">in the assessment period </w:t>
      </w:r>
      <w:r>
        <w:t>a</w:t>
      </w:r>
      <w:r w:rsidR="00E97777">
        <w:t>fter the submission of the dissertation</w:t>
      </w:r>
      <w:r w:rsidR="00DD001D">
        <w:t xml:space="preserve"> and </w:t>
      </w:r>
      <w:r w:rsidR="00E97777">
        <w:t xml:space="preserve">before the final </w:t>
      </w:r>
      <w:r w:rsidR="00DD001D">
        <w:t>Boa</w:t>
      </w:r>
      <w:r w:rsidR="00E97777">
        <w:t>rd</w:t>
      </w:r>
      <w:r w:rsidR="00DD001D">
        <w:t xml:space="preserve"> of Examiners</w:t>
      </w:r>
      <w:r>
        <w:t xml:space="preserve">.  </w:t>
      </w:r>
      <w:r w:rsidR="00DD001D">
        <w:t xml:space="preserve">In the exceptional circumstance that reassessment of a component is essential at an earlier date in order to appropriately prepare a student for a later assessment (e.g. the dissertation research proposal), this must be agreed at the time of approving the module and the arrangements for reassessment must be made clear </w:t>
      </w:r>
      <w:r w:rsidR="00237D1E">
        <w:t>to the students.</w:t>
      </w:r>
    </w:p>
    <w:p w14:paraId="149135E3" w14:textId="011AD58C" w:rsidR="002551D1" w:rsidRPr="006F44DC" w:rsidRDefault="002551D1" w:rsidP="00244234">
      <w:pPr>
        <w:pStyle w:val="CoPNumberlevel1"/>
      </w:pPr>
      <w:r w:rsidRPr="0049136C">
        <w:rPr>
          <w:rStyle w:val="Style1Char"/>
        </w:rPr>
        <w:t xml:space="preserve">In </w:t>
      </w:r>
      <w:r w:rsidRPr="00BF4223">
        <w:t>the</w:t>
      </w:r>
      <w:r w:rsidRPr="0049136C">
        <w:rPr>
          <w:rStyle w:val="Style1Char"/>
        </w:rPr>
        <w:t xml:space="preserve"> </w:t>
      </w:r>
      <w:r w:rsidRPr="003C7524">
        <w:t>case</w:t>
      </w:r>
      <w:r w:rsidRPr="0049136C">
        <w:rPr>
          <w:rStyle w:val="Style1Char"/>
        </w:rPr>
        <w:t xml:space="preserve"> of MSc programmes, students may proceed with a dissertation if they have </w:t>
      </w:r>
      <w:r w:rsidRPr="00395FB9">
        <w:t>failed</w:t>
      </w:r>
      <w:r>
        <w:t xml:space="preserve"> taught modules, but may be prevented from doing so if failure to complete key modules would mean that undertaking </w:t>
      </w:r>
      <w:r w:rsidR="00616AD9">
        <w:t xml:space="preserve">the </w:t>
      </w:r>
      <w:r>
        <w:t>dissertation project would put the</w:t>
      </w:r>
      <w:r w:rsidR="008C2F53">
        <w:t>mselves and/or others at risk.</w:t>
      </w:r>
    </w:p>
    <w:p w14:paraId="21CCF725" w14:textId="77777777" w:rsidR="002551D1" w:rsidRDefault="002551D1" w:rsidP="00244234">
      <w:pPr>
        <w:pStyle w:val="CoPNumberlevel1"/>
      </w:pPr>
      <w:r>
        <w:t>In the case of MSc programmes, if a student fails a module or dissertation at the second attempt, they may be eligible for an alternative award, provided they have accumulated sufficient credit. Depending on which modules have been taken, the exit award may be named or unnamed.  Criteria for awarding alternative named awards are stated in the programme specifications.</w:t>
      </w:r>
    </w:p>
    <w:p w14:paraId="4F320A53" w14:textId="31B5E626" w:rsidR="002551D1" w:rsidRDefault="002551D1" w:rsidP="00244234">
      <w:pPr>
        <w:pStyle w:val="CoPNumberlevel1"/>
      </w:pPr>
      <w:r>
        <w:t>A failed dissertation may be submitte</w:t>
      </w:r>
      <w:r w:rsidR="009843DF">
        <w:t xml:space="preserve">d on one further occasion only </w:t>
      </w:r>
      <w:r>
        <w:t>within one year of th</w:t>
      </w:r>
      <w:r w:rsidR="00237D1E">
        <w:t>e original date of submission.</w:t>
      </w:r>
    </w:p>
    <w:p w14:paraId="56AFEA7E" w14:textId="2AD9C0FB" w:rsidR="001C66A4" w:rsidRDefault="001C66A4" w:rsidP="00244234">
      <w:pPr>
        <w:pStyle w:val="CoPNumberlevel1"/>
      </w:pPr>
      <w:r>
        <w:t xml:space="preserve">Reassessment for Professional Diplomas and short courses will either take place within three months of the date of the original assessment, or, for programmes with multiple entry dates in a single year, at the time </w:t>
      </w:r>
      <w:r w:rsidR="006023B5">
        <w:t xml:space="preserve">that </w:t>
      </w:r>
      <w:r>
        <w:t>assessment of the next coho</w:t>
      </w:r>
      <w:r w:rsidR="00237D1E">
        <w:t>rt of students is taking place.</w:t>
      </w:r>
    </w:p>
    <w:p w14:paraId="4DC301B8" w14:textId="3BB5523D" w:rsidR="002551D1" w:rsidRDefault="002551D1" w:rsidP="00244234">
      <w:pPr>
        <w:pStyle w:val="CoPNumberlevel1"/>
      </w:pPr>
      <w:r>
        <w:t>Reassessments should be of the same type as the original assessment, but not the same task.  Where it is not possible to offer the same ty</w:t>
      </w:r>
      <w:r w:rsidR="00DD001D">
        <w:t>pe of assessmen</w:t>
      </w:r>
      <w:r>
        <w:t>t, it is possible to offer an alternative, with the approval of the D</w:t>
      </w:r>
      <w:r w:rsidR="00571EA2">
        <w:t>ean</w:t>
      </w:r>
      <w:r>
        <w:t xml:space="preserve"> of Education, provided the re</w:t>
      </w:r>
      <w:r w:rsidR="00875AF7">
        <w:t>assessment task</w:t>
      </w:r>
      <w:r>
        <w:t xml:space="preserve"> tests the same learning outcomes as the original assessment.</w:t>
      </w:r>
    </w:p>
    <w:p w14:paraId="546C5470" w14:textId="1B3C9B7A" w:rsidR="00E647DC" w:rsidRDefault="00E647DC" w:rsidP="00244234">
      <w:pPr>
        <w:pStyle w:val="CoPNumberlevel1"/>
      </w:pPr>
      <w:r>
        <w:t>In the case of MCQ (multiple choice question) examinations, at least 25% of the questions should be new or significantly revised for the re-examination paper.</w:t>
      </w:r>
    </w:p>
    <w:p w14:paraId="40605199" w14:textId="212FFEFE" w:rsidR="002551D1" w:rsidRDefault="002551D1" w:rsidP="00244234">
      <w:pPr>
        <w:pStyle w:val="CoPNumberlevel1"/>
      </w:pPr>
      <w:r>
        <w:lastRenderedPageBreak/>
        <w:t xml:space="preserve">Marks for re-sits </w:t>
      </w:r>
      <w:r w:rsidR="00875AF7">
        <w:t xml:space="preserve">and resubmissions </w:t>
      </w:r>
      <w:r>
        <w:t>will be capped at 50%</w:t>
      </w:r>
      <w:r w:rsidR="001229F7">
        <w:t xml:space="preserve"> for the purpose of calculating final awards, but the actual mark achieved will be recorded on the transcript (flagged as a second attempt)</w:t>
      </w:r>
      <w:r>
        <w:t xml:space="preserve">.  Students who re-sit </w:t>
      </w:r>
      <w:r w:rsidR="00DB17AE">
        <w:t xml:space="preserve">or re-submit </w:t>
      </w:r>
      <w:r>
        <w:t>will be eligible for a Distinction or Merit (Merit awarded for MSc and DTM&amp;H programmes only), provided they meet the c</w:t>
      </w:r>
      <w:r w:rsidR="003C7524">
        <w:t xml:space="preserve">riteria outlined in section </w:t>
      </w:r>
      <w:r w:rsidR="00DB17AE">
        <w:t>18</w:t>
      </w:r>
      <w:r w:rsidR="003C7524">
        <w:t>.</w:t>
      </w:r>
    </w:p>
    <w:p w14:paraId="4A27225D" w14:textId="77777777" w:rsidR="002551D1" w:rsidRPr="005355EF" w:rsidRDefault="002551D1" w:rsidP="00244234">
      <w:pPr>
        <w:pStyle w:val="CoPNumberlevel1"/>
      </w:pPr>
      <w:r>
        <w:t>The mark for the re-sit is the one which will count, even if lower than the original.</w:t>
      </w:r>
    </w:p>
    <w:p w14:paraId="5A5E2413" w14:textId="62CE075D" w:rsidR="002551D1" w:rsidRDefault="002551D1" w:rsidP="00244234">
      <w:pPr>
        <w:pStyle w:val="CoPNumberlevel1"/>
      </w:pPr>
      <w:r>
        <w:t xml:space="preserve">Students who register on a Master’s or Postgraduate Diploma but who exit with a lower award because of failure in assessment will be eligible for a Merit or </w:t>
      </w:r>
      <w:r w:rsidR="00F013AA">
        <w:t>Distinction for the lower award provided they meet the criteria outlined in Section 18.</w:t>
      </w:r>
    </w:p>
    <w:p w14:paraId="689AC205" w14:textId="214ED828" w:rsidR="002551D1" w:rsidRDefault="002551D1" w:rsidP="00244234">
      <w:pPr>
        <w:pStyle w:val="CoPNumberlevel1"/>
      </w:pPr>
      <w:r>
        <w:t>Students who register on a Master’s or Postgraduate Diploma but who withdraw at Certificate or Diploma level with good reason will be eligible for a Merit or Distinction provided they</w:t>
      </w:r>
      <w:r w:rsidR="006023B5">
        <w:t xml:space="preserve"> meet the criteria outlined in S</w:t>
      </w:r>
      <w:r>
        <w:t xml:space="preserve">ection </w:t>
      </w:r>
      <w:r w:rsidR="00146771">
        <w:t>1</w:t>
      </w:r>
      <w:r w:rsidR="00F013AA">
        <w:t>8</w:t>
      </w:r>
      <w:r>
        <w:t>.</w:t>
      </w:r>
    </w:p>
    <w:p w14:paraId="141220D9" w14:textId="5A75C22D" w:rsidR="00ED2E4B" w:rsidRDefault="00ED2E4B" w:rsidP="00244234">
      <w:pPr>
        <w:pStyle w:val="CoPNumberlevel1"/>
      </w:pPr>
      <w:r>
        <w:t xml:space="preserve">Students should make a reasonable attempt at assessments. The </w:t>
      </w:r>
      <w:r w:rsidR="00CD35C7">
        <w:t>Board of Examiners</w:t>
      </w:r>
      <w:r>
        <w:t xml:space="preserve"> reserves the right to deny a student the opportunity to re-sit the failed component if the student has failed to give a good reason for being absent from an assessment or is deemed to have not made a reasonable attempt to complete it.</w:t>
      </w:r>
    </w:p>
    <w:p w14:paraId="3349D08A" w14:textId="19AB686F" w:rsidR="002551D1" w:rsidRDefault="002551D1" w:rsidP="003428C4">
      <w:pPr>
        <w:pStyle w:val="CoPborderheading"/>
        <w:numPr>
          <w:ilvl w:val="0"/>
          <w:numId w:val="5"/>
        </w:numPr>
        <w:rPr>
          <w:rFonts w:hint="eastAsia"/>
        </w:rPr>
      </w:pPr>
      <w:bookmarkStart w:id="17" w:name="_Toc426405576"/>
      <w:r w:rsidRPr="003428C4">
        <w:rPr>
          <w:rFonts w:eastAsia="Calibri"/>
          <w:spacing w:val="-1"/>
        </w:rPr>
        <w:t>Resubmission</w:t>
      </w:r>
      <w:r>
        <w:t xml:space="preserve"> of a Master</w:t>
      </w:r>
      <w:r w:rsidR="00A25B5E">
        <w:t>’</w:t>
      </w:r>
      <w:r w:rsidR="00244234">
        <w:t>s D</w:t>
      </w:r>
      <w:r>
        <w:t>issertation</w:t>
      </w:r>
      <w:bookmarkEnd w:id="17"/>
    </w:p>
    <w:p w14:paraId="31D20192" w14:textId="680287EB" w:rsidR="002551D1" w:rsidRDefault="002551D1" w:rsidP="00244234">
      <w:pPr>
        <w:pStyle w:val="CoPNumberlevel1"/>
      </w:pPr>
      <w:r>
        <w:t>A failed Master</w:t>
      </w:r>
      <w:r w:rsidR="00A25B5E">
        <w:t>’</w:t>
      </w:r>
      <w:r>
        <w:t>s dissertation may be submitted on one further occasion only (see</w:t>
      </w:r>
      <w:r w:rsidR="00146771">
        <w:t xml:space="preserve"> 1</w:t>
      </w:r>
      <w:r w:rsidR="00875AF7">
        <w:t>4.6</w:t>
      </w:r>
      <w:r>
        <w:t xml:space="preserve"> above), within one year of the first submission. A decision will be made by the </w:t>
      </w:r>
      <w:r w:rsidR="00875AF7">
        <w:t>markers, through the marking rubric, as to whether</w:t>
      </w:r>
      <w:r>
        <w:t xml:space="preserve"> the dissertation is ‘redeemable’.  If the dissertation is considered ‘redeemable’, the student will be given the opportunity of re-submitting on the same topic with minor modifications.  Students whose dissertation is not considered ‘redeemable’ will register for a Semester’s supervision, paying the relevant fee. Students who are required to re-write the dissertation on a new topic will undertake either a desk-based or lab-based project in LSTM.  Resubmission, re-examination and where relevant, bench fees will apply.</w:t>
      </w:r>
    </w:p>
    <w:p w14:paraId="609303CC" w14:textId="1BF905B2" w:rsidR="002551D1" w:rsidRDefault="002551D1" w:rsidP="003428C4">
      <w:pPr>
        <w:pStyle w:val="CoPborderheading"/>
        <w:numPr>
          <w:ilvl w:val="0"/>
          <w:numId w:val="5"/>
        </w:numPr>
        <w:rPr>
          <w:rFonts w:hint="eastAsia"/>
        </w:rPr>
      </w:pPr>
      <w:bookmarkStart w:id="18" w:name="_Toc426405577"/>
      <w:r w:rsidRPr="003428C4">
        <w:rPr>
          <w:rFonts w:eastAsia="Calibri"/>
          <w:spacing w:val="-1"/>
        </w:rPr>
        <w:t>Feedback</w:t>
      </w:r>
      <w:r w:rsidR="00244234">
        <w:t xml:space="preserve"> on A</w:t>
      </w:r>
      <w:r>
        <w:t>ssessment</w:t>
      </w:r>
      <w:bookmarkEnd w:id="18"/>
    </w:p>
    <w:p w14:paraId="507143A6" w14:textId="74E9A7B5" w:rsidR="00146771" w:rsidRDefault="002551D1" w:rsidP="00244234">
      <w:pPr>
        <w:pStyle w:val="CoPNumberlevel1"/>
      </w:pPr>
      <w:r>
        <w:t>LSTM staff aim to give students feedback and a mark for assessments wi</w:t>
      </w:r>
      <w:r w:rsidR="00731C55">
        <w:t>thin three weeks of submission.</w:t>
      </w:r>
    </w:p>
    <w:p w14:paraId="5873AB55" w14:textId="524EC87A" w:rsidR="00146771" w:rsidRDefault="00875AF7" w:rsidP="00244234">
      <w:pPr>
        <w:pStyle w:val="CoPNumberlevel1"/>
      </w:pPr>
      <w:r>
        <w:t>F</w:t>
      </w:r>
      <w:r w:rsidR="002551D1">
        <w:t xml:space="preserve">eedback on assignments </w:t>
      </w:r>
      <w:r w:rsidR="00AA5D0B">
        <w:t xml:space="preserve">will be </w:t>
      </w:r>
      <w:r w:rsidR="002551D1">
        <w:t xml:space="preserve">either </w:t>
      </w:r>
      <w:r w:rsidR="00A24D49">
        <w:t xml:space="preserve">sent </w:t>
      </w:r>
      <w:r w:rsidR="002551D1">
        <w:t xml:space="preserve">to </w:t>
      </w:r>
      <w:r w:rsidR="00A24D49">
        <w:t xml:space="preserve">individual </w:t>
      </w:r>
      <w:r w:rsidR="002551D1">
        <w:t xml:space="preserve">students </w:t>
      </w:r>
      <w:r w:rsidR="00A24D49">
        <w:t>by</w:t>
      </w:r>
      <w:r w:rsidR="002551D1">
        <w:t xml:space="preserve"> the LSTM Q</w:t>
      </w:r>
      <w:r w:rsidR="00731C55">
        <w:t>uality Unit or through the VLE.</w:t>
      </w:r>
    </w:p>
    <w:p w14:paraId="2F350995" w14:textId="5168B1AA" w:rsidR="00146771" w:rsidRDefault="00B24B16" w:rsidP="00244234">
      <w:pPr>
        <w:pStyle w:val="CoPNumberlevel1"/>
      </w:pPr>
      <w:r>
        <w:t>Students will be given generic feedback on examinations via the VLE or at a group meeting. Examination scripts may be annotated but should not be returned to the student.  However, comments may be shared with individual students who request a face-to-face meeting with the marker.</w:t>
      </w:r>
    </w:p>
    <w:p w14:paraId="03058713" w14:textId="619839AC" w:rsidR="002551D1" w:rsidRPr="00965180" w:rsidRDefault="002551D1" w:rsidP="00244234">
      <w:pPr>
        <w:pStyle w:val="CoPNumberlevel1"/>
        <w:rPr>
          <w:i/>
        </w:rPr>
      </w:pPr>
      <w:r>
        <w:lastRenderedPageBreak/>
        <w:t xml:space="preserve">Further information can be found in </w:t>
      </w:r>
      <w:r w:rsidR="00A25B5E">
        <w:t xml:space="preserve">the </w:t>
      </w:r>
      <w:r w:rsidR="00A24D49" w:rsidRPr="00965180">
        <w:rPr>
          <w:i/>
        </w:rPr>
        <w:t>P</w:t>
      </w:r>
      <w:r w:rsidR="00825CB9" w:rsidRPr="00965180">
        <w:rPr>
          <w:i/>
        </w:rPr>
        <w:t>rocedure for</w:t>
      </w:r>
      <w:r w:rsidRPr="00965180">
        <w:rPr>
          <w:i/>
        </w:rPr>
        <w:t xml:space="preserve"> the Provision of Feedback to Students.</w:t>
      </w:r>
    </w:p>
    <w:p w14:paraId="061B8ED7" w14:textId="5F878DB1" w:rsidR="002551D1" w:rsidRPr="002E7217" w:rsidRDefault="002551D1" w:rsidP="003428C4">
      <w:pPr>
        <w:pStyle w:val="CoPborderheading"/>
        <w:numPr>
          <w:ilvl w:val="0"/>
          <w:numId w:val="5"/>
        </w:numPr>
        <w:rPr>
          <w:rFonts w:hint="eastAsia"/>
        </w:rPr>
      </w:pPr>
      <w:bookmarkStart w:id="19" w:name="_Toc426405578"/>
      <w:r w:rsidRPr="003428C4">
        <w:rPr>
          <w:rFonts w:eastAsia="Calibri"/>
          <w:spacing w:val="-1"/>
        </w:rPr>
        <w:t>Notification</w:t>
      </w:r>
      <w:r w:rsidR="00244234">
        <w:t xml:space="preserve"> of Final A</w:t>
      </w:r>
      <w:r w:rsidRPr="002E7217">
        <w:t>wards</w:t>
      </w:r>
      <w:bookmarkEnd w:id="19"/>
    </w:p>
    <w:p w14:paraId="4DCCC4F7" w14:textId="01014F22" w:rsidR="004E5623" w:rsidRDefault="002551D1" w:rsidP="00244234">
      <w:pPr>
        <w:pStyle w:val="CoPNumberlevel1"/>
      </w:pPr>
      <w:r>
        <w:t xml:space="preserve">Following the final Board of Examiners’ meeting for the programme, students will be informed of results </w:t>
      </w:r>
      <w:r w:rsidR="003C7524">
        <w:t>as soon as possible thereafter.</w:t>
      </w:r>
    </w:p>
    <w:p w14:paraId="617F4019" w14:textId="16DFEDD6" w:rsidR="004E5623" w:rsidRDefault="002551D1" w:rsidP="00244234">
      <w:pPr>
        <w:pStyle w:val="CoPNumberlevel1"/>
      </w:pPr>
      <w:r>
        <w:t xml:space="preserve"> No marks will be disclosed or discussed with other students or third parties.  Results will not b</w:t>
      </w:r>
      <w:r w:rsidR="00731C55">
        <w:t>e communicated by telephone.</w:t>
      </w:r>
    </w:p>
    <w:p w14:paraId="27B9B2D8" w14:textId="7BDE1CC2" w:rsidR="004E5623" w:rsidRDefault="002551D1" w:rsidP="00244234">
      <w:pPr>
        <w:pStyle w:val="CoPNumberlevel1"/>
      </w:pPr>
      <w:r>
        <w:t xml:space="preserve">Certificates and transcripts for MSc programmes </w:t>
      </w:r>
      <w:r w:rsidR="00875AF7">
        <w:t>will be</w:t>
      </w:r>
      <w:r>
        <w:t xml:space="preserve"> issued at the graduation ceremony in December, or</w:t>
      </w:r>
      <w:r w:rsidR="00A24D49">
        <w:t>, for students graduating in absentia,</w:t>
      </w:r>
      <w:r w:rsidR="0075655C">
        <w:t xml:space="preserve"> </w:t>
      </w:r>
      <w:r>
        <w:t>are pos</w:t>
      </w:r>
      <w:r w:rsidR="003C7524">
        <w:t>ted to the student in January.</w:t>
      </w:r>
    </w:p>
    <w:p w14:paraId="6A4384A7" w14:textId="6CE035F0" w:rsidR="002551D1" w:rsidRDefault="002551D1" w:rsidP="00244234">
      <w:pPr>
        <w:pStyle w:val="CoPNumberlevel1"/>
      </w:pPr>
      <w:r>
        <w:t xml:space="preserve">For all other </w:t>
      </w:r>
      <w:r w:rsidR="00875AF7">
        <w:t>programmes</w:t>
      </w:r>
      <w:r>
        <w:t xml:space="preserve">, certificates and transcripts </w:t>
      </w:r>
      <w:r w:rsidR="00875AF7">
        <w:t>will be</w:t>
      </w:r>
      <w:r>
        <w:t xml:space="preserve"> issued after </w:t>
      </w:r>
      <w:r w:rsidR="000D7A9C">
        <w:t>confirmation of the award by Audit Committee</w:t>
      </w:r>
      <w:r>
        <w:t>.</w:t>
      </w:r>
    </w:p>
    <w:p w14:paraId="3B44F47E" w14:textId="77777777" w:rsidR="002551D1" w:rsidRPr="006D76E4" w:rsidRDefault="002551D1" w:rsidP="003428C4">
      <w:pPr>
        <w:pStyle w:val="CoPborderheading"/>
        <w:numPr>
          <w:ilvl w:val="0"/>
          <w:numId w:val="5"/>
        </w:numPr>
        <w:rPr>
          <w:rFonts w:eastAsia="Calibri"/>
          <w:spacing w:val="-1"/>
        </w:rPr>
      </w:pPr>
      <w:bookmarkStart w:id="20" w:name="_Toc426405579"/>
      <w:r w:rsidRPr="003428C4">
        <w:rPr>
          <w:rFonts w:eastAsia="Calibri"/>
          <w:spacing w:val="-1"/>
        </w:rPr>
        <w:t>Criteria</w:t>
      </w:r>
      <w:r w:rsidRPr="006D76E4">
        <w:rPr>
          <w:rFonts w:eastAsia="Calibri"/>
          <w:spacing w:val="-1"/>
        </w:rPr>
        <w:t xml:space="preserve"> for Distinction and Merit</w:t>
      </w:r>
      <w:bookmarkEnd w:id="20"/>
    </w:p>
    <w:p w14:paraId="4B13D47B" w14:textId="1AFB43B8" w:rsidR="009823DC" w:rsidRDefault="00A25B5E" w:rsidP="00244234">
      <w:pPr>
        <w:pStyle w:val="CoPNumberlevel1"/>
      </w:pPr>
      <w:r>
        <w:t>The framework for Master’s</w:t>
      </w:r>
      <w:r w:rsidR="009823DC">
        <w:t xml:space="preserve"> regulations is detailed in the </w:t>
      </w:r>
      <w:r w:rsidR="009823DC" w:rsidRPr="009823DC">
        <w:rPr>
          <w:i/>
        </w:rPr>
        <w:t xml:space="preserve">Regulations for </w:t>
      </w:r>
      <w:r>
        <w:rPr>
          <w:i/>
        </w:rPr>
        <w:t>P</w:t>
      </w:r>
      <w:r w:rsidR="009823DC" w:rsidRPr="009823DC">
        <w:rPr>
          <w:i/>
        </w:rPr>
        <w:t xml:space="preserve">ostgraduate </w:t>
      </w:r>
      <w:r>
        <w:rPr>
          <w:i/>
        </w:rPr>
        <w:t>Taught P</w:t>
      </w:r>
      <w:r w:rsidR="009823DC" w:rsidRPr="009823DC">
        <w:rPr>
          <w:i/>
        </w:rPr>
        <w:t>rogrammes</w:t>
      </w:r>
      <w:r w:rsidR="009823DC">
        <w:t>.</w:t>
      </w:r>
    </w:p>
    <w:p w14:paraId="3E79AF63" w14:textId="77777777" w:rsidR="00616AD9" w:rsidRPr="00D90052" w:rsidRDefault="00616AD9" w:rsidP="00244234">
      <w:pPr>
        <w:pStyle w:val="CoPNumberlevel2"/>
      </w:pPr>
      <w:r w:rsidRPr="00D90052">
        <w:t xml:space="preserve">For a Master’s degree with </w:t>
      </w:r>
      <w:r w:rsidRPr="00D90052">
        <w:rPr>
          <w:b/>
        </w:rPr>
        <w:t>Distinction</w:t>
      </w:r>
      <w:r w:rsidRPr="00D90052">
        <w:t>, a student must achieve:</w:t>
      </w:r>
    </w:p>
    <w:p w14:paraId="5D4A4F2A"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 Distinction grade for the dissertation and;</w:t>
      </w:r>
    </w:p>
    <w:p w14:paraId="06CBF52C"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of at least 70% in 120 credits of taught modules</w:t>
      </w:r>
    </w:p>
    <w:p w14:paraId="59895693" w14:textId="77777777" w:rsidR="00616AD9" w:rsidRDefault="00616AD9" w:rsidP="00244234">
      <w:pPr>
        <w:pStyle w:val="CoPNumberlevel2"/>
      </w:pPr>
      <w:r w:rsidRPr="00D90052">
        <w:t xml:space="preserve">For a Postgraduate Diploma with </w:t>
      </w:r>
      <w:r w:rsidRPr="007D06AB">
        <w:rPr>
          <w:b/>
        </w:rPr>
        <w:t>Distinction</w:t>
      </w:r>
      <w:r w:rsidRPr="00D90052">
        <w:t>, a student must achieve</w:t>
      </w:r>
      <w:r>
        <w:t>:</w:t>
      </w:r>
    </w:p>
    <w:p w14:paraId="04CB2B15"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70% in 120 credits of taught modules; or</w:t>
      </w:r>
    </w:p>
    <w:p w14:paraId="01408AC4"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70% in 60 credits of taught modules and a Distinction grade for the dissertation</w:t>
      </w:r>
    </w:p>
    <w:p w14:paraId="24183548" w14:textId="77777777" w:rsidR="00616AD9" w:rsidRDefault="00616AD9" w:rsidP="00244234">
      <w:pPr>
        <w:pStyle w:val="CoPNumberlevel2"/>
      </w:pPr>
      <w:r w:rsidRPr="00D90052">
        <w:t xml:space="preserve">For a Postgraduate Certificate with </w:t>
      </w:r>
      <w:r w:rsidRPr="00D90052">
        <w:rPr>
          <w:b/>
        </w:rPr>
        <w:t>Distinction,</w:t>
      </w:r>
      <w:r w:rsidRPr="00D90052">
        <w:t xml:space="preserve"> a student must achieve:</w:t>
      </w:r>
    </w:p>
    <w:p w14:paraId="4FC0C7D9"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70% in 60 credits of taught modules</w:t>
      </w:r>
    </w:p>
    <w:p w14:paraId="31BFBA1E" w14:textId="77777777" w:rsidR="00616AD9" w:rsidRPr="00D90052" w:rsidRDefault="00616AD9" w:rsidP="00244234">
      <w:pPr>
        <w:pStyle w:val="CoPNumberlevel2"/>
      </w:pPr>
      <w:r w:rsidRPr="00D90052">
        <w:t xml:space="preserve">For a Postgraduate Award with </w:t>
      </w:r>
      <w:r w:rsidRPr="00D90052">
        <w:rPr>
          <w:b/>
        </w:rPr>
        <w:t>Distinction</w:t>
      </w:r>
      <w:r w:rsidRPr="00D90052">
        <w:t>, a student must achieve:</w:t>
      </w:r>
    </w:p>
    <w:p w14:paraId="2353F0CF"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70% in 30 credits of taught modules</w:t>
      </w:r>
    </w:p>
    <w:p w14:paraId="6649FBDB" w14:textId="77777777" w:rsidR="00616AD9" w:rsidRPr="00062B28" w:rsidRDefault="00616AD9" w:rsidP="00244234">
      <w:pPr>
        <w:pStyle w:val="CoPNumberlevel2"/>
      </w:pPr>
      <w:r>
        <w:t xml:space="preserve"> </w:t>
      </w:r>
      <w:r w:rsidRPr="00062B28">
        <w:t xml:space="preserve">For a Master’s degree with </w:t>
      </w:r>
      <w:r w:rsidRPr="00062B28">
        <w:rPr>
          <w:b/>
        </w:rPr>
        <w:t>Merit</w:t>
      </w:r>
      <w:r w:rsidRPr="00062B28">
        <w:t>, a student must achieve:</w:t>
      </w:r>
    </w:p>
    <w:p w14:paraId="3F4FE56A"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 Merit grade for the dissertation and;</w:t>
      </w:r>
    </w:p>
    <w:p w14:paraId="7720D9B6"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60% in 120 credits of taught modules</w:t>
      </w:r>
    </w:p>
    <w:p w14:paraId="424D22E3" w14:textId="77777777" w:rsidR="00616AD9" w:rsidRPr="00D90052" w:rsidRDefault="00616AD9" w:rsidP="00244234">
      <w:pPr>
        <w:pStyle w:val="CoPNumberlevel2"/>
      </w:pPr>
      <w:r w:rsidRPr="00D90052">
        <w:t xml:space="preserve">For a Postgraduate Diploma with </w:t>
      </w:r>
      <w:r w:rsidRPr="00D90052">
        <w:rPr>
          <w:b/>
        </w:rPr>
        <w:t>Merit</w:t>
      </w:r>
      <w:r w:rsidRPr="00D90052">
        <w:t>, a student must achieve:</w:t>
      </w:r>
    </w:p>
    <w:p w14:paraId="24403D67"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lastRenderedPageBreak/>
        <w:t>An overall average mark of at least 60% in 120 credits of taught modules; or</w:t>
      </w:r>
    </w:p>
    <w:p w14:paraId="4F805137"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60% in 60 credits of taught modules and a Distinction grade for the dissertation</w:t>
      </w:r>
    </w:p>
    <w:p w14:paraId="08B878AF" w14:textId="77777777" w:rsidR="00616AD9" w:rsidRPr="00D90052" w:rsidRDefault="00616AD9" w:rsidP="00244234">
      <w:pPr>
        <w:pStyle w:val="CoPNumberlevel2"/>
      </w:pPr>
      <w:r w:rsidRPr="00D90052">
        <w:t xml:space="preserve">For a Postgraduate Certificate with </w:t>
      </w:r>
      <w:r w:rsidRPr="00D90052">
        <w:rPr>
          <w:b/>
        </w:rPr>
        <w:t>Merit</w:t>
      </w:r>
      <w:r w:rsidRPr="00D90052">
        <w:t>, a student must achieve:</w:t>
      </w:r>
    </w:p>
    <w:p w14:paraId="27FA92EA"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60% in 60 credits of taught modules</w:t>
      </w:r>
    </w:p>
    <w:p w14:paraId="52E2DD78" w14:textId="77777777" w:rsidR="00616AD9" w:rsidRPr="00D90052" w:rsidRDefault="00616AD9" w:rsidP="00244234">
      <w:pPr>
        <w:pStyle w:val="CoPNumberlevel2"/>
      </w:pPr>
      <w:r w:rsidRPr="00D90052">
        <w:t>For a Postgraduate Award with Merit, a student must achieve:</w:t>
      </w:r>
    </w:p>
    <w:p w14:paraId="645722DA" w14:textId="77777777" w:rsidR="00616AD9" w:rsidRPr="007C06F7" w:rsidRDefault="00616AD9" w:rsidP="00D16944">
      <w:pPr>
        <w:pStyle w:val="ListParagraph"/>
        <w:numPr>
          <w:ilvl w:val="0"/>
          <w:numId w:val="7"/>
        </w:numPr>
        <w:spacing w:after="0" w:line="259" w:lineRule="auto"/>
        <w:ind w:left="1984" w:hanging="425"/>
        <w:contextualSpacing w:val="0"/>
        <w:rPr>
          <w:rFonts w:ascii="Arial" w:hAnsi="Arial" w:cs="Arial"/>
        </w:rPr>
      </w:pPr>
      <w:r w:rsidRPr="007C06F7">
        <w:rPr>
          <w:rFonts w:ascii="Arial" w:hAnsi="Arial" w:cs="Arial"/>
        </w:rPr>
        <w:t>An overall average mark of at least 60%</w:t>
      </w:r>
    </w:p>
    <w:p w14:paraId="38BC962F" w14:textId="18247768" w:rsidR="00616AD9" w:rsidRPr="004F3D83" w:rsidRDefault="00616AD9" w:rsidP="00244234">
      <w:pPr>
        <w:pStyle w:val="CoPNumberlevel1"/>
      </w:pPr>
      <w:r>
        <w:t xml:space="preserve">Average marks falling up to 2% below any grade boundary for a credit-bearing programme are deemed to be borderline cases.  In these </w:t>
      </w:r>
      <w:proofErr w:type="gramStart"/>
      <w:r>
        <w:t>cases</w:t>
      </w:r>
      <w:proofErr w:type="gramEnd"/>
      <w:r>
        <w:t xml:space="preserve"> the award is determined by consideration of the profile of marks across all taught credits.  To be awarded the higher grade, at least 50% of the taught credits and the dissertation (if applicable) must be at the higher grade.</w:t>
      </w:r>
    </w:p>
    <w:p w14:paraId="558F731E" w14:textId="3DD074BA" w:rsidR="002551D1" w:rsidRDefault="002551D1" w:rsidP="00244234">
      <w:pPr>
        <w:pStyle w:val="CoPNumberlevel1"/>
      </w:pPr>
      <w:r>
        <w:t xml:space="preserve">For </w:t>
      </w:r>
      <w:r w:rsidR="00616AD9">
        <w:t xml:space="preserve">non-credit-bearing programmes, </w:t>
      </w:r>
      <w:r>
        <w:t xml:space="preserve">candidates who achieve an overall average of at least 70% will be awarded a </w:t>
      </w:r>
      <w:r w:rsidRPr="008F090C">
        <w:rPr>
          <w:b/>
        </w:rPr>
        <w:t>Distinction</w:t>
      </w:r>
      <w:r>
        <w:t>.  For the Diploma in Tropical Medicine &amp; Hygiene</w:t>
      </w:r>
      <w:r w:rsidR="00AB2FD6">
        <w:t xml:space="preserve"> only</w:t>
      </w:r>
      <w:r>
        <w:t xml:space="preserve">, students who achieve an overall average of at least 60% will be awarded a </w:t>
      </w:r>
      <w:r w:rsidRPr="008F090C">
        <w:rPr>
          <w:b/>
        </w:rPr>
        <w:t>Merit</w:t>
      </w:r>
      <w:r>
        <w:t>.</w:t>
      </w:r>
    </w:p>
    <w:p w14:paraId="26608A10" w14:textId="47085068" w:rsidR="00217205" w:rsidRPr="006D76E4" w:rsidRDefault="00217205" w:rsidP="006D76E4">
      <w:pPr>
        <w:pStyle w:val="CoPborderheading"/>
        <w:numPr>
          <w:ilvl w:val="0"/>
          <w:numId w:val="5"/>
        </w:numPr>
        <w:rPr>
          <w:rFonts w:eastAsia="Calibri"/>
          <w:spacing w:val="-1"/>
        </w:rPr>
      </w:pPr>
      <w:bookmarkStart w:id="21" w:name="_Toc426405580"/>
      <w:r w:rsidRPr="006D76E4">
        <w:rPr>
          <w:rFonts w:eastAsia="Calibri"/>
          <w:spacing w:val="-1"/>
        </w:rPr>
        <w:t>Academic appeals</w:t>
      </w:r>
      <w:bookmarkEnd w:id="21"/>
    </w:p>
    <w:p w14:paraId="2E6AF0B1" w14:textId="0E354A0D" w:rsidR="006023B5" w:rsidRDefault="00140831" w:rsidP="00244234">
      <w:pPr>
        <w:pStyle w:val="CoPNumberlevel1"/>
      </w:pPr>
      <w:r>
        <w:t>Students may appeal against an academic decision that has been made in respect of student progression, assessment or award.</w:t>
      </w:r>
      <w:r w:rsidR="006023B5" w:rsidRPr="006023B5">
        <w:t xml:space="preserve"> </w:t>
      </w:r>
      <w:r w:rsidR="006023B5">
        <w:t xml:space="preserve"> Students wishing to submit an academic appeal, either against an assessment mark or a mark for a final award, should refer to the </w:t>
      </w:r>
      <w:r w:rsidR="006023B5" w:rsidRPr="00140831">
        <w:rPr>
          <w:i/>
        </w:rPr>
        <w:t>Procedure for</w:t>
      </w:r>
      <w:r w:rsidR="006023B5">
        <w:t xml:space="preserve"> </w:t>
      </w:r>
      <w:r w:rsidR="006023B5" w:rsidRPr="00140831">
        <w:rPr>
          <w:i/>
        </w:rPr>
        <w:t>Academic Appeals (Taught Programmes)</w:t>
      </w:r>
      <w:r w:rsidR="006023B5">
        <w:t xml:space="preserve">, or the </w:t>
      </w:r>
      <w:r w:rsidR="006023B5" w:rsidRPr="00140831">
        <w:rPr>
          <w:i/>
        </w:rPr>
        <w:t>Procedure for Academic Appeals</w:t>
      </w:r>
      <w:r w:rsidR="006023B5">
        <w:t xml:space="preserve"> </w:t>
      </w:r>
      <w:r w:rsidR="006023B5" w:rsidRPr="00140831">
        <w:rPr>
          <w:i/>
        </w:rPr>
        <w:t>(Research degrees)</w:t>
      </w:r>
    </w:p>
    <w:p w14:paraId="67281AA8" w14:textId="52F0F24B" w:rsidR="002551D1" w:rsidRPr="006D76E4" w:rsidRDefault="002551D1" w:rsidP="003428C4">
      <w:pPr>
        <w:pStyle w:val="CoPborderheading"/>
        <w:numPr>
          <w:ilvl w:val="0"/>
          <w:numId w:val="5"/>
        </w:numPr>
        <w:rPr>
          <w:rFonts w:eastAsia="Calibri"/>
          <w:spacing w:val="-1"/>
        </w:rPr>
      </w:pPr>
      <w:bookmarkStart w:id="22" w:name="_Toc426405581"/>
      <w:r w:rsidRPr="003428C4">
        <w:rPr>
          <w:rFonts w:eastAsia="Calibri"/>
          <w:spacing w:val="-1"/>
        </w:rPr>
        <w:t>Retention</w:t>
      </w:r>
      <w:r w:rsidR="00244234">
        <w:rPr>
          <w:rFonts w:eastAsia="Calibri"/>
          <w:spacing w:val="-1"/>
        </w:rPr>
        <w:t xml:space="preserve"> of Exams Scripts and C</w:t>
      </w:r>
      <w:r w:rsidRPr="006D76E4">
        <w:rPr>
          <w:rFonts w:eastAsia="Calibri"/>
          <w:spacing w:val="-1"/>
        </w:rPr>
        <w:t>oursework</w:t>
      </w:r>
      <w:bookmarkEnd w:id="22"/>
    </w:p>
    <w:p w14:paraId="08938A8F" w14:textId="520E54B6" w:rsidR="002551D1" w:rsidRDefault="002551D1" w:rsidP="00244234">
      <w:pPr>
        <w:pStyle w:val="CoPNumberlevel1"/>
      </w:pPr>
      <w:r>
        <w:t xml:space="preserve">In line with data protection legislation, LSTM Quality Unit retains all work undertaken under exam conditions and which contributes to a final award, and all other assessed coursework, for a period of one year from the date on which the </w:t>
      </w:r>
      <w:r w:rsidR="00AB2FD6">
        <w:t xml:space="preserve">final </w:t>
      </w:r>
      <w:r>
        <w:t>award was determin</w:t>
      </w:r>
      <w:r w:rsidR="003C7524">
        <w:t>ed by the Board of Examiners.</w:t>
      </w:r>
    </w:p>
    <w:p w14:paraId="1F37362A" w14:textId="77777777" w:rsidR="002551D1" w:rsidRDefault="002551D1" w:rsidP="003428C4">
      <w:pPr>
        <w:pStyle w:val="CoPborderheading"/>
        <w:numPr>
          <w:ilvl w:val="0"/>
          <w:numId w:val="5"/>
        </w:numPr>
        <w:rPr>
          <w:rFonts w:hint="eastAsia"/>
        </w:rPr>
      </w:pPr>
      <w:bookmarkStart w:id="23" w:name="_Toc426405582"/>
      <w:r w:rsidRPr="003428C4">
        <w:rPr>
          <w:rFonts w:eastAsia="Calibri"/>
          <w:spacing w:val="-1"/>
        </w:rPr>
        <w:t>Boards</w:t>
      </w:r>
      <w:r>
        <w:t xml:space="preserve"> of Examiners</w:t>
      </w:r>
      <w:bookmarkEnd w:id="23"/>
      <w:r>
        <w:t xml:space="preserve"> </w:t>
      </w:r>
    </w:p>
    <w:p w14:paraId="2425B52A" w14:textId="3ACB373B" w:rsidR="002551D1" w:rsidRPr="003C7524" w:rsidRDefault="002551D1" w:rsidP="00244234">
      <w:pPr>
        <w:pStyle w:val="CoPNumberlevel1"/>
      </w:pPr>
      <w:r w:rsidRPr="00D27B9E">
        <w:t>All LSTM courses have Boards of Examiners who are responsible for the assessment of candidates and the determinat</w:t>
      </w:r>
      <w:r w:rsidR="00731C55">
        <w:t>ion of results of examinations.</w:t>
      </w:r>
    </w:p>
    <w:p w14:paraId="52FC3D2D" w14:textId="77777777" w:rsidR="00244234" w:rsidRPr="00244234" w:rsidRDefault="00244234" w:rsidP="00244234">
      <w:pPr>
        <w:pStyle w:val="CoPNumberlevel1"/>
        <w:rPr>
          <w:sz w:val="24"/>
          <w:szCs w:val="24"/>
        </w:rPr>
      </w:pPr>
      <w:r w:rsidRPr="00244234">
        <w:lastRenderedPageBreak/>
        <w:t xml:space="preserve">The Board of Examiners consists of the Director of Studies, the External Examiner(s) and members of staff who have a major contribution to the teaching and assessment of the programme. The Master’s Board of Examiners will be chaired by the Director of LSTM. </w:t>
      </w:r>
    </w:p>
    <w:p w14:paraId="55A3BFCF" w14:textId="2A36B485" w:rsidR="002551D1" w:rsidRPr="003C7524" w:rsidRDefault="002551D1" w:rsidP="00244234">
      <w:pPr>
        <w:pStyle w:val="CoPNumberlevel1"/>
      </w:pPr>
      <w:r w:rsidRPr="00D27B9E">
        <w:t>The Terms of Reference are as follows:</w:t>
      </w:r>
      <w:r w:rsidRPr="003C7524">
        <w:t xml:space="preserve"> </w:t>
      </w:r>
    </w:p>
    <w:p w14:paraId="060240D8" w14:textId="77777777" w:rsidR="002551D1" w:rsidRPr="00D27B9E" w:rsidRDefault="002551D1" w:rsidP="00FC2294">
      <w:pPr>
        <w:pStyle w:val="CoPbullet"/>
      </w:pPr>
      <w:r w:rsidRPr="00D27B9E">
        <w:t>To monitor methods of assessment against set learning outcomes and programme requirements</w:t>
      </w:r>
    </w:p>
    <w:p w14:paraId="1F7E4D60" w14:textId="77777777" w:rsidR="002551D1" w:rsidRPr="00D27B9E" w:rsidRDefault="002551D1" w:rsidP="00FC2294">
      <w:pPr>
        <w:pStyle w:val="CoPbullet"/>
      </w:pPr>
      <w:r w:rsidRPr="00D27B9E">
        <w:t>To ensure standards of assessment are maintained</w:t>
      </w:r>
    </w:p>
    <w:p w14:paraId="4B6B2A79" w14:textId="77777777" w:rsidR="002551D1" w:rsidRPr="00D27B9E" w:rsidRDefault="002551D1" w:rsidP="00FC2294">
      <w:pPr>
        <w:pStyle w:val="CoPbullet"/>
      </w:pPr>
      <w:r w:rsidRPr="00D27B9E">
        <w:t>To assess students’ performance in accordance with regulation</w:t>
      </w:r>
      <w:r>
        <w:t>s</w:t>
      </w:r>
    </w:p>
    <w:p w14:paraId="6949528D" w14:textId="77777777" w:rsidR="002551D1" w:rsidRPr="00D27B9E" w:rsidRDefault="002551D1" w:rsidP="00FC2294">
      <w:pPr>
        <w:pStyle w:val="CoPbullet"/>
      </w:pPr>
      <w:r w:rsidRPr="00D27B9E">
        <w:t>To reach overall decisions concerning awards</w:t>
      </w:r>
    </w:p>
    <w:p w14:paraId="3CF0C8F5" w14:textId="77777777" w:rsidR="002551D1" w:rsidRPr="00425860" w:rsidRDefault="002551D1" w:rsidP="00FC2294">
      <w:pPr>
        <w:pStyle w:val="CoPbullet"/>
        <w:rPr>
          <w:bCs/>
          <w:i/>
          <w:iCs/>
        </w:rPr>
      </w:pPr>
      <w:r w:rsidRPr="00D27B9E">
        <w:t xml:space="preserve">To make recommendations to the Board of Studies on the conduct and standards of all assessment procedures  </w:t>
      </w:r>
    </w:p>
    <w:p w14:paraId="7C5A41C2" w14:textId="2397B959" w:rsidR="002551D1" w:rsidRPr="00425860" w:rsidRDefault="002551D1" w:rsidP="00FC2294">
      <w:pPr>
        <w:pStyle w:val="CoPbullet"/>
        <w:rPr>
          <w:bCs/>
          <w:i/>
          <w:iCs/>
        </w:rPr>
      </w:pPr>
      <w:r>
        <w:t xml:space="preserve">To make decisions based on courses of action to be taken based on the recommendations of the </w:t>
      </w:r>
      <w:r w:rsidR="00965180">
        <w:t>Extenua</w:t>
      </w:r>
      <w:r>
        <w:t>ting Circumstances Committee</w:t>
      </w:r>
    </w:p>
    <w:p w14:paraId="2D9998C1" w14:textId="54B010D1" w:rsidR="002551D1" w:rsidRPr="00F013AA" w:rsidRDefault="002551D1" w:rsidP="00FC2294">
      <w:pPr>
        <w:pStyle w:val="CoPbullet"/>
        <w:rPr>
          <w:bCs/>
          <w:i/>
          <w:iCs/>
        </w:rPr>
      </w:pPr>
      <w:r>
        <w:t xml:space="preserve">To make decisions and take action on </w:t>
      </w:r>
      <w:r w:rsidR="00AB2FD6">
        <w:t>breaches of academic integrity</w:t>
      </w:r>
      <w:r>
        <w:t>.</w:t>
      </w:r>
    </w:p>
    <w:p w14:paraId="268EF349" w14:textId="209B2D94" w:rsidR="00F013AA" w:rsidRDefault="00F013AA" w:rsidP="00244234">
      <w:pPr>
        <w:pStyle w:val="CoPNumberlevel1"/>
      </w:pPr>
      <w:r>
        <w:t xml:space="preserve">Further information on the conduct of Boards of Examiners can be found in the </w:t>
      </w:r>
      <w:r w:rsidRPr="00965180">
        <w:rPr>
          <w:i/>
        </w:rPr>
        <w:t>Code of Practice on Monitoring Student Progress</w:t>
      </w:r>
      <w:r w:rsidR="00A25B5E" w:rsidRPr="00965180">
        <w:rPr>
          <w:i/>
        </w:rPr>
        <w:t xml:space="preserve"> </w:t>
      </w:r>
      <w:r w:rsidRPr="00965180">
        <w:rPr>
          <w:i/>
        </w:rPr>
        <w:t>and the Conduct of Boards of Examiners</w:t>
      </w:r>
      <w:r>
        <w:t>.</w:t>
      </w:r>
    </w:p>
    <w:p w14:paraId="7885DF87" w14:textId="77777777" w:rsidR="002551D1" w:rsidRDefault="002551D1" w:rsidP="003428C4">
      <w:pPr>
        <w:pStyle w:val="CoPborderheading"/>
        <w:numPr>
          <w:ilvl w:val="0"/>
          <w:numId w:val="5"/>
        </w:numPr>
        <w:rPr>
          <w:rFonts w:hint="eastAsia"/>
        </w:rPr>
      </w:pPr>
      <w:bookmarkStart w:id="24" w:name="_Toc426405583"/>
      <w:r w:rsidRPr="003428C4">
        <w:rPr>
          <w:rFonts w:eastAsia="Calibri"/>
          <w:spacing w:val="-1"/>
        </w:rPr>
        <w:t>External</w:t>
      </w:r>
      <w:r>
        <w:t xml:space="preserve"> Examiners</w:t>
      </w:r>
      <w:bookmarkEnd w:id="24"/>
    </w:p>
    <w:p w14:paraId="42DD3FD2" w14:textId="77777777" w:rsidR="002551D1" w:rsidRDefault="002551D1" w:rsidP="00244234">
      <w:pPr>
        <w:pStyle w:val="CoPNumberlevel1"/>
      </w:pPr>
      <w:r>
        <w:t>External examiners are appointed for all LSTM courses which result in an award being made.  Their role is to monitor standards of awards, to ensure that the assessment process is fair, and appropriate for the award, and comparable in standard with those for similar subjects and awards in other HE institutions.  They need to be in a position to participate in assessment processes, to adjudicate on difficult cases and to comment and give advice on programme content, balance and structure and assessment processes.</w:t>
      </w:r>
    </w:p>
    <w:p w14:paraId="7C1A565C" w14:textId="20627833" w:rsidR="009554F1" w:rsidRPr="00F013AA" w:rsidRDefault="00F013AA" w:rsidP="00244234">
      <w:pPr>
        <w:pStyle w:val="CoPNumberlevel1"/>
        <w:rPr>
          <w:i/>
        </w:rPr>
      </w:pPr>
      <w:r>
        <w:t xml:space="preserve">Further information on external examining can be found in the </w:t>
      </w:r>
      <w:r w:rsidRPr="00F013AA">
        <w:rPr>
          <w:i/>
        </w:rPr>
        <w:t>Code of Practice on External Examining</w:t>
      </w:r>
      <w:r w:rsidR="00A25B5E">
        <w:rPr>
          <w:i/>
        </w:rPr>
        <w:t xml:space="preserve"> of Taught Programmes</w:t>
      </w:r>
      <w:r w:rsidRPr="00F013AA">
        <w:rPr>
          <w:i/>
        </w:rPr>
        <w:t>.</w:t>
      </w:r>
    </w:p>
    <w:p w14:paraId="5E0EF4AF" w14:textId="77777777" w:rsidR="004B10D1" w:rsidRPr="000F3EC9" w:rsidRDefault="004B10D1" w:rsidP="003428C4">
      <w:pPr>
        <w:pStyle w:val="CoPborderheading"/>
        <w:numPr>
          <w:ilvl w:val="0"/>
          <w:numId w:val="5"/>
        </w:numPr>
        <w:rPr>
          <w:rFonts w:hint="eastAsia"/>
        </w:rPr>
      </w:pPr>
      <w:bookmarkStart w:id="25" w:name="_Toc426405584"/>
      <w:r w:rsidRPr="003428C4">
        <w:rPr>
          <w:rFonts w:eastAsia="Calibri"/>
          <w:spacing w:val="-1"/>
        </w:rPr>
        <w:t>Review</w:t>
      </w:r>
      <w:r w:rsidRPr="00C05552">
        <w:t xml:space="preserve"> </w:t>
      </w:r>
      <w:r>
        <w:t>of Assessment Strategies</w:t>
      </w:r>
      <w:bookmarkEnd w:id="25"/>
    </w:p>
    <w:p w14:paraId="6BCAF53E" w14:textId="1265E8A1" w:rsidR="00662DBE" w:rsidRDefault="004B10D1" w:rsidP="00244234">
      <w:pPr>
        <w:pStyle w:val="CoPNumberlevel1"/>
        <w:rPr>
          <w:i/>
        </w:rPr>
      </w:pPr>
      <w:r>
        <w:t xml:space="preserve">The assessment strategies of all modules and programmes must be reviewed annually and all changes in assessment must be approved in accordance with the </w:t>
      </w:r>
      <w:r w:rsidRPr="00F013AA">
        <w:rPr>
          <w:i/>
        </w:rPr>
        <w:t>Code of Practice on Programme Design, Approval, Monitoring and Review</w:t>
      </w:r>
      <w:r w:rsidR="00F013AA">
        <w:rPr>
          <w:i/>
        </w:rPr>
        <w:t>.</w:t>
      </w:r>
    </w:p>
    <w:p w14:paraId="6A9A2088" w14:textId="77777777" w:rsidR="00662DBE" w:rsidRDefault="00662DBE">
      <w:pPr>
        <w:rPr>
          <w:rFonts w:ascii="Arial" w:hAnsi="Arial" w:cs="Arial"/>
          <w:i/>
        </w:rPr>
      </w:pPr>
      <w:r>
        <w:rPr>
          <w:i/>
        </w:rP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662DBE" w:rsidRPr="00853D2A" w14:paraId="4C5A6602" w14:textId="77777777" w:rsidTr="00382063">
        <w:trPr>
          <w:trHeight w:val="397"/>
        </w:trPr>
        <w:tc>
          <w:tcPr>
            <w:tcW w:w="5000" w:type="pct"/>
            <w:gridSpan w:val="3"/>
            <w:shd w:val="clear" w:color="auto" w:fill="E5B8B7" w:themeFill="accent2" w:themeFillTint="66"/>
            <w:vAlign w:val="center"/>
            <w:hideMark/>
          </w:tcPr>
          <w:p w14:paraId="592A71BE" w14:textId="77777777" w:rsidR="00662DBE" w:rsidRPr="00805611" w:rsidRDefault="00662DBE" w:rsidP="00382063">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662DBE" w:rsidRPr="00853D2A" w14:paraId="14537962" w14:textId="77777777" w:rsidTr="00382063">
        <w:trPr>
          <w:trHeight w:val="397"/>
        </w:trPr>
        <w:tc>
          <w:tcPr>
            <w:tcW w:w="630" w:type="pct"/>
            <w:vAlign w:val="center"/>
          </w:tcPr>
          <w:p w14:paraId="4308285A" w14:textId="77777777" w:rsidR="00662DBE" w:rsidRPr="00F76F9B" w:rsidRDefault="00662DBE" w:rsidP="00382063">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14:paraId="2B00E56E" w14:textId="77777777" w:rsidR="00662DBE" w:rsidRPr="00F76F9B" w:rsidRDefault="00662DBE" w:rsidP="00382063">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14:paraId="5C6E738B" w14:textId="77777777" w:rsidR="00662DBE" w:rsidRPr="00F76F9B" w:rsidRDefault="00662DBE" w:rsidP="00382063">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662DBE" w:rsidRPr="00853D2A" w14:paraId="185A21D6" w14:textId="77777777" w:rsidTr="00382063">
        <w:trPr>
          <w:trHeight w:val="397"/>
        </w:trPr>
        <w:tc>
          <w:tcPr>
            <w:tcW w:w="630" w:type="pct"/>
            <w:vAlign w:val="center"/>
          </w:tcPr>
          <w:p w14:paraId="61646EEE" w14:textId="77777777" w:rsidR="00662DBE" w:rsidRPr="00805611" w:rsidRDefault="00662DBE" w:rsidP="00382063">
            <w:pPr>
              <w:pStyle w:val="NoSpacing"/>
              <w:spacing w:before="120" w:after="120"/>
              <w:rPr>
                <w:rFonts w:ascii="Arial" w:hAnsi="Arial" w:cs="Arial"/>
              </w:rPr>
            </w:pPr>
            <w:r>
              <w:rPr>
                <w:rFonts w:ascii="Arial" w:hAnsi="Arial" w:cs="Arial"/>
              </w:rPr>
              <w:t>1.1</w:t>
            </w:r>
          </w:p>
        </w:tc>
        <w:tc>
          <w:tcPr>
            <w:tcW w:w="1028" w:type="pct"/>
            <w:vAlign w:val="center"/>
          </w:tcPr>
          <w:p w14:paraId="6500817E" w14:textId="77777777" w:rsidR="00662DBE" w:rsidRPr="00805611" w:rsidRDefault="00662DBE" w:rsidP="00382063">
            <w:pPr>
              <w:pStyle w:val="NoSpacing"/>
              <w:spacing w:before="120" w:after="120"/>
              <w:rPr>
                <w:rFonts w:ascii="Arial" w:hAnsi="Arial" w:cs="Arial"/>
              </w:rPr>
            </w:pPr>
            <w:r>
              <w:rPr>
                <w:rFonts w:ascii="Arial" w:hAnsi="Arial" w:cs="Arial"/>
              </w:rPr>
              <w:t>30.01.15</w:t>
            </w:r>
          </w:p>
        </w:tc>
        <w:tc>
          <w:tcPr>
            <w:tcW w:w="3343" w:type="pct"/>
            <w:vAlign w:val="center"/>
          </w:tcPr>
          <w:p w14:paraId="5F74A13A" w14:textId="77777777" w:rsidR="00662DBE" w:rsidRPr="00805611" w:rsidRDefault="00662DBE" w:rsidP="00382063">
            <w:pPr>
              <w:pStyle w:val="NoSpacing"/>
              <w:spacing w:before="120" w:after="120"/>
              <w:rPr>
                <w:rFonts w:ascii="Arial" w:hAnsi="Arial" w:cs="Arial"/>
              </w:rPr>
            </w:pPr>
            <w:r>
              <w:rPr>
                <w:rFonts w:ascii="Arial" w:hAnsi="Arial" w:cs="Arial"/>
              </w:rPr>
              <w:t>Minor edits following review by Management Committee 28.01.15</w:t>
            </w:r>
          </w:p>
        </w:tc>
      </w:tr>
      <w:tr w:rsidR="00662DBE" w:rsidRPr="00853D2A" w14:paraId="7A0698BD" w14:textId="77777777" w:rsidTr="00382063">
        <w:trPr>
          <w:trHeight w:val="397"/>
        </w:trPr>
        <w:tc>
          <w:tcPr>
            <w:tcW w:w="630" w:type="pct"/>
            <w:vAlign w:val="center"/>
          </w:tcPr>
          <w:p w14:paraId="54D0DA92" w14:textId="6A05D956" w:rsidR="00662DBE" w:rsidRPr="00805611" w:rsidRDefault="00356167" w:rsidP="00382063">
            <w:pPr>
              <w:pStyle w:val="NoSpacing"/>
              <w:spacing w:before="120" w:after="120"/>
              <w:rPr>
                <w:rFonts w:ascii="Arial" w:hAnsi="Arial" w:cs="Arial"/>
              </w:rPr>
            </w:pPr>
            <w:r>
              <w:rPr>
                <w:rFonts w:ascii="Arial" w:hAnsi="Arial" w:cs="Arial"/>
              </w:rPr>
              <w:t>1.2</w:t>
            </w:r>
          </w:p>
        </w:tc>
        <w:tc>
          <w:tcPr>
            <w:tcW w:w="1028" w:type="pct"/>
            <w:vAlign w:val="center"/>
          </w:tcPr>
          <w:p w14:paraId="6B5DE5FB" w14:textId="7D6FB811" w:rsidR="00662DBE" w:rsidRPr="00805611" w:rsidRDefault="00356167" w:rsidP="00382063">
            <w:pPr>
              <w:pStyle w:val="NoSpacing"/>
              <w:spacing w:before="120" w:after="120"/>
              <w:rPr>
                <w:rFonts w:ascii="Arial" w:hAnsi="Arial" w:cs="Arial"/>
              </w:rPr>
            </w:pPr>
            <w:r>
              <w:rPr>
                <w:rFonts w:ascii="Arial" w:hAnsi="Arial" w:cs="Arial"/>
              </w:rPr>
              <w:t>15.07.15</w:t>
            </w:r>
          </w:p>
        </w:tc>
        <w:tc>
          <w:tcPr>
            <w:tcW w:w="3343" w:type="pct"/>
            <w:vAlign w:val="center"/>
          </w:tcPr>
          <w:p w14:paraId="0C4CD150" w14:textId="4223684D" w:rsidR="00662DBE" w:rsidRPr="00805611" w:rsidRDefault="00356167" w:rsidP="00244234">
            <w:pPr>
              <w:pStyle w:val="NoSpacing"/>
              <w:spacing w:before="120" w:after="120"/>
              <w:rPr>
                <w:rFonts w:ascii="Arial" w:hAnsi="Arial" w:cs="Arial"/>
              </w:rPr>
            </w:pPr>
            <w:r>
              <w:rPr>
                <w:rFonts w:ascii="Arial" w:hAnsi="Arial" w:cs="Arial"/>
              </w:rPr>
              <w:t>Additional responsibilities regarding academic appeals added</w:t>
            </w:r>
            <w:r w:rsidR="00244234">
              <w:rPr>
                <w:rFonts w:ascii="Arial" w:hAnsi="Arial" w:cs="Arial"/>
              </w:rPr>
              <w:t xml:space="preserve"> to Section 3 and Section 19 added</w:t>
            </w:r>
          </w:p>
        </w:tc>
      </w:tr>
      <w:tr w:rsidR="00662DBE" w:rsidRPr="00853D2A" w14:paraId="03B46E88" w14:textId="77777777" w:rsidTr="00382063">
        <w:trPr>
          <w:trHeight w:val="397"/>
        </w:trPr>
        <w:tc>
          <w:tcPr>
            <w:tcW w:w="630" w:type="pct"/>
            <w:vAlign w:val="center"/>
          </w:tcPr>
          <w:p w14:paraId="6A1E9114" w14:textId="50687691" w:rsidR="00662DBE" w:rsidRPr="00805611" w:rsidRDefault="00965180" w:rsidP="00382063">
            <w:pPr>
              <w:pStyle w:val="NoSpacing"/>
              <w:spacing w:before="120" w:after="120"/>
              <w:rPr>
                <w:rFonts w:ascii="Arial" w:hAnsi="Arial" w:cs="Arial"/>
              </w:rPr>
            </w:pPr>
            <w:r>
              <w:rPr>
                <w:rFonts w:ascii="Arial" w:hAnsi="Arial" w:cs="Arial"/>
              </w:rPr>
              <w:t>2.0</w:t>
            </w:r>
          </w:p>
        </w:tc>
        <w:tc>
          <w:tcPr>
            <w:tcW w:w="1028" w:type="pct"/>
            <w:vAlign w:val="center"/>
          </w:tcPr>
          <w:p w14:paraId="31B0A760" w14:textId="0BB462BA" w:rsidR="00662DBE" w:rsidRPr="00805611" w:rsidRDefault="00662DBE" w:rsidP="00382063">
            <w:pPr>
              <w:pStyle w:val="NoSpacing"/>
              <w:spacing w:before="120" w:after="120"/>
              <w:rPr>
                <w:rFonts w:ascii="Arial" w:hAnsi="Arial" w:cs="Arial"/>
              </w:rPr>
            </w:pPr>
          </w:p>
        </w:tc>
        <w:tc>
          <w:tcPr>
            <w:tcW w:w="3343" w:type="pct"/>
            <w:vAlign w:val="center"/>
          </w:tcPr>
          <w:p w14:paraId="6111D20F" w14:textId="4DDFAEE6" w:rsidR="00662DBE" w:rsidRPr="00805611" w:rsidRDefault="00965180" w:rsidP="00382063">
            <w:pPr>
              <w:pStyle w:val="NoSpacing"/>
              <w:spacing w:before="120" w:after="120"/>
              <w:rPr>
                <w:rFonts w:ascii="Arial" w:hAnsi="Arial" w:cs="Arial"/>
              </w:rPr>
            </w:pPr>
            <w:r>
              <w:rPr>
                <w:rFonts w:ascii="Arial" w:hAnsi="Arial" w:cs="Arial"/>
              </w:rPr>
              <w:t>Changed references to Mitigating Circumstances to Extenuating Circumstances</w:t>
            </w:r>
          </w:p>
        </w:tc>
      </w:tr>
      <w:tr w:rsidR="00662DBE" w:rsidRPr="00853D2A" w14:paraId="1B0A5577" w14:textId="77777777" w:rsidTr="00382063">
        <w:trPr>
          <w:trHeight w:val="397"/>
        </w:trPr>
        <w:tc>
          <w:tcPr>
            <w:tcW w:w="630" w:type="pct"/>
            <w:vAlign w:val="center"/>
          </w:tcPr>
          <w:p w14:paraId="3C010C28" w14:textId="7E4C93A1" w:rsidR="00662DBE" w:rsidRPr="00805611" w:rsidRDefault="00965180" w:rsidP="00382063">
            <w:pPr>
              <w:pStyle w:val="NoSpacing"/>
              <w:spacing w:before="120" w:after="120"/>
              <w:rPr>
                <w:rFonts w:ascii="Arial" w:hAnsi="Arial" w:cs="Arial"/>
              </w:rPr>
            </w:pPr>
            <w:r>
              <w:rPr>
                <w:rFonts w:ascii="Arial" w:hAnsi="Arial" w:cs="Arial"/>
              </w:rPr>
              <w:t>2.0</w:t>
            </w:r>
          </w:p>
        </w:tc>
        <w:tc>
          <w:tcPr>
            <w:tcW w:w="1028" w:type="pct"/>
            <w:vAlign w:val="center"/>
          </w:tcPr>
          <w:p w14:paraId="0F3C2F94" w14:textId="223C29FA" w:rsidR="00662DBE" w:rsidRPr="00805611" w:rsidRDefault="00662DBE" w:rsidP="00382063">
            <w:pPr>
              <w:pStyle w:val="NoSpacing"/>
              <w:spacing w:before="120" w:after="120"/>
              <w:rPr>
                <w:rFonts w:ascii="Arial" w:hAnsi="Arial" w:cs="Arial"/>
              </w:rPr>
            </w:pPr>
          </w:p>
        </w:tc>
        <w:tc>
          <w:tcPr>
            <w:tcW w:w="3343" w:type="pct"/>
            <w:vAlign w:val="center"/>
          </w:tcPr>
          <w:p w14:paraId="12F9FA77" w14:textId="482EBB62" w:rsidR="00662DBE" w:rsidRPr="00805611" w:rsidRDefault="00965180" w:rsidP="00382063">
            <w:pPr>
              <w:pStyle w:val="NoSpacing"/>
              <w:spacing w:before="120" w:after="120"/>
              <w:rPr>
                <w:rFonts w:ascii="Arial" w:hAnsi="Arial" w:cs="Arial"/>
              </w:rPr>
            </w:pPr>
            <w:r>
              <w:rPr>
                <w:rFonts w:ascii="Arial" w:hAnsi="Arial" w:cs="Arial"/>
              </w:rPr>
              <w:t>The Code of Practice on Supporting Students with Disabilities has been superseded by the Code of Practice on Student Support and Welfare</w:t>
            </w:r>
          </w:p>
        </w:tc>
      </w:tr>
      <w:tr w:rsidR="00662DBE" w:rsidRPr="00853D2A" w14:paraId="376F2B82" w14:textId="77777777" w:rsidTr="00382063">
        <w:trPr>
          <w:trHeight w:val="397"/>
        </w:trPr>
        <w:tc>
          <w:tcPr>
            <w:tcW w:w="630" w:type="pct"/>
            <w:vAlign w:val="center"/>
          </w:tcPr>
          <w:p w14:paraId="767D6C7A" w14:textId="2A60DD82" w:rsidR="00662DBE" w:rsidRPr="00805611" w:rsidRDefault="00965180" w:rsidP="00382063">
            <w:pPr>
              <w:pStyle w:val="NoSpacing"/>
              <w:spacing w:before="120" w:after="120"/>
              <w:rPr>
                <w:rFonts w:ascii="Arial" w:hAnsi="Arial" w:cs="Arial"/>
              </w:rPr>
            </w:pPr>
            <w:r>
              <w:rPr>
                <w:rFonts w:ascii="Arial" w:hAnsi="Arial" w:cs="Arial"/>
              </w:rPr>
              <w:t>2.0</w:t>
            </w:r>
          </w:p>
        </w:tc>
        <w:tc>
          <w:tcPr>
            <w:tcW w:w="1028" w:type="pct"/>
            <w:vAlign w:val="center"/>
          </w:tcPr>
          <w:p w14:paraId="44B771A4" w14:textId="79231C55" w:rsidR="00662DBE" w:rsidRPr="00805611" w:rsidRDefault="00662DBE" w:rsidP="00382063">
            <w:pPr>
              <w:pStyle w:val="NoSpacing"/>
              <w:spacing w:before="120" w:after="120"/>
              <w:rPr>
                <w:rFonts w:ascii="Arial" w:hAnsi="Arial" w:cs="Arial"/>
              </w:rPr>
            </w:pPr>
          </w:p>
        </w:tc>
        <w:tc>
          <w:tcPr>
            <w:tcW w:w="3343" w:type="pct"/>
            <w:vAlign w:val="center"/>
          </w:tcPr>
          <w:p w14:paraId="4C8F7B04" w14:textId="6B7010B6" w:rsidR="00662DBE" w:rsidRPr="00805611" w:rsidRDefault="00A62DAB" w:rsidP="00382063">
            <w:pPr>
              <w:pStyle w:val="NoSpacing"/>
              <w:spacing w:before="120" w:after="120"/>
              <w:rPr>
                <w:rFonts w:ascii="Arial" w:hAnsi="Arial" w:cs="Arial"/>
              </w:rPr>
            </w:pPr>
            <w:r>
              <w:rPr>
                <w:rFonts w:ascii="Arial" w:hAnsi="Arial" w:cs="Arial"/>
              </w:rPr>
              <w:t>New paragraph 14.9 inserted regarding at least 25% of MCQ questions to be new or revised for re-sit papers.</w:t>
            </w:r>
          </w:p>
        </w:tc>
      </w:tr>
      <w:tr w:rsidR="00A62DAB" w:rsidRPr="00853D2A" w14:paraId="5A6F42A5" w14:textId="77777777" w:rsidTr="00382063">
        <w:trPr>
          <w:trHeight w:val="397"/>
        </w:trPr>
        <w:tc>
          <w:tcPr>
            <w:tcW w:w="630" w:type="pct"/>
            <w:vAlign w:val="center"/>
          </w:tcPr>
          <w:p w14:paraId="37A463CE" w14:textId="6208B679" w:rsidR="00A62DAB" w:rsidRDefault="00A62DAB" w:rsidP="00382063">
            <w:pPr>
              <w:pStyle w:val="NoSpacing"/>
              <w:spacing w:before="120" w:after="120"/>
              <w:rPr>
                <w:rFonts w:ascii="Arial" w:hAnsi="Arial" w:cs="Arial"/>
              </w:rPr>
            </w:pPr>
            <w:r>
              <w:rPr>
                <w:rFonts w:ascii="Arial" w:hAnsi="Arial" w:cs="Arial"/>
              </w:rPr>
              <w:t>2.0</w:t>
            </w:r>
          </w:p>
        </w:tc>
        <w:tc>
          <w:tcPr>
            <w:tcW w:w="1028" w:type="pct"/>
            <w:vAlign w:val="center"/>
          </w:tcPr>
          <w:p w14:paraId="3895B692" w14:textId="77777777" w:rsidR="00A62DAB" w:rsidRDefault="00A62DAB" w:rsidP="00382063">
            <w:pPr>
              <w:pStyle w:val="NoSpacing"/>
              <w:spacing w:before="120" w:after="120"/>
              <w:rPr>
                <w:rFonts w:ascii="Arial" w:hAnsi="Arial" w:cs="Arial"/>
              </w:rPr>
            </w:pPr>
          </w:p>
        </w:tc>
        <w:tc>
          <w:tcPr>
            <w:tcW w:w="3343" w:type="pct"/>
            <w:vAlign w:val="center"/>
          </w:tcPr>
          <w:p w14:paraId="6289C59F" w14:textId="3C4D2885" w:rsidR="00A62DAB" w:rsidRDefault="00A62DAB" w:rsidP="00382063">
            <w:pPr>
              <w:pStyle w:val="NoSpacing"/>
              <w:spacing w:before="120" w:after="120"/>
              <w:rPr>
                <w:rFonts w:ascii="Arial" w:hAnsi="Arial" w:cs="Arial"/>
              </w:rPr>
            </w:pPr>
            <w:r>
              <w:rPr>
                <w:rFonts w:ascii="Arial" w:hAnsi="Arial" w:cs="Arial"/>
              </w:rPr>
              <w:t xml:space="preserve">Amendment to paragraph 7.3 regarding penalties for late submission of assignments.  In line with amendments to </w:t>
            </w:r>
            <w:proofErr w:type="spellStart"/>
            <w:r>
              <w:rPr>
                <w:rFonts w:ascii="Arial" w:hAnsi="Arial" w:cs="Arial"/>
              </w:rPr>
              <w:t>UoL</w:t>
            </w:r>
            <w:proofErr w:type="spellEnd"/>
            <w:r>
              <w:rPr>
                <w:rFonts w:ascii="Arial" w:hAnsi="Arial" w:cs="Arial"/>
              </w:rPr>
              <w:t xml:space="preserve"> CoP on Assessment – reference to working days has been removed for electronic submission of assignments.  For these purposes working days will include weekends and Bank Holidays.</w:t>
            </w:r>
          </w:p>
        </w:tc>
      </w:tr>
      <w:tr w:rsidR="00571EA2" w:rsidRPr="00853D2A" w14:paraId="128E7789" w14:textId="77777777" w:rsidTr="00382063">
        <w:trPr>
          <w:trHeight w:val="397"/>
        </w:trPr>
        <w:tc>
          <w:tcPr>
            <w:tcW w:w="630" w:type="pct"/>
            <w:vAlign w:val="center"/>
          </w:tcPr>
          <w:p w14:paraId="495F0328" w14:textId="418030AF" w:rsidR="00571EA2" w:rsidRDefault="00571EA2" w:rsidP="00382063">
            <w:pPr>
              <w:pStyle w:val="NoSpacing"/>
              <w:spacing w:before="120" w:after="120"/>
              <w:rPr>
                <w:rFonts w:ascii="Arial" w:hAnsi="Arial" w:cs="Arial"/>
              </w:rPr>
            </w:pPr>
            <w:r>
              <w:rPr>
                <w:rFonts w:ascii="Arial" w:hAnsi="Arial" w:cs="Arial"/>
              </w:rPr>
              <w:t>2.1</w:t>
            </w:r>
          </w:p>
        </w:tc>
        <w:tc>
          <w:tcPr>
            <w:tcW w:w="1028" w:type="pct"/>
            <w:vAlign w:val="center"/>
          </w:tcPr>
          <w:p w14:paraId="5D08FBA8" w14:textId="38CEE227" w:rsidR="00571EA2" w:rsidRDefault="00571EA2" w:rsidP="00382063">
            <w:pPr>
              <w:pStyle w:val="NoSpacing"/>
              <w:spacing w:before="120" w:after="120"/>
              <w:rPr>
                <w:rFonts w:ascii="Arial" w:hAnsi="Arial" w:cs="Arial"/>
              </w:rPr>
            </w:pPr>
            <w:r>
              <w:rPr>
                <w:rFonts w:ascii="Arial" w:hAnsi="Arial" w:cs="Arial"/>
              </w:rPr>
              <w:t>24.01.19</w:t>
            </w:r>
          </w:p>
        </w:tc>
        <w:tc>
          <w:tcPr>
            <w:tcW w:w="3343" w:type="pct"/>
            <w:vAlign w:val="center"/>
          </w:tcPr>
          <w:p w14:paraId="3CAB4BFA" w14:textId="428EC9A5" w:rsidR="00571EA2" w:rsidRDefault="00571EA2" w:rsidP="00382063">
            <w:pPr>
              <w:pStyle w:val="NoSpacing"/>
              <w:spacing w:before="120" w:after="120"/>
              <w:rPr>
                <w:rFonts w:ascii="Arial" w:hAnsi="Arial" w:cs="Arial"/>
              </w:rPr>
            </w:pPr>
            <w:r>
              <w:rPr>
                <w:rFonts w:ascii="Arial" w:hAnsi="Arial" w:cs="Arial"/>
              </w:rPr>
              <w:t xml:space="preserve">Replacement of </w:t>
            </w:r>
            <w:r w:rsidR="001760F5">
              <w:rPr>
                <w:rFonts w:ascii="Arial" w:hAnsi="Arial" w:cs="Arial"/>
              </w:rPr>
              <w:t xml:space="preserve">references to </w:t>
            </w:r>
            <w:r>
              <w:rPr>
                <w:rFonts w:ascii="Arial" w:hAnsi="Arial" w:cs="Arial"/>
              </w:rPr>
              <w:t>Director of Education with Dean of Education</w:t>
            </w:r>
            <w:r w:rsidR="001374E7">
              <w:rPr>
                <w:rFonts w:ascii="Arial" w:hAnsi="Arial" w:cs="Arial"/>
              </w:rPr>
              <w:t>.  Amendment to 17.4 to clarify when certificates are issued.</w:t>
            </w:r>
          </w:p>
        </w:tc>
      </w:tr>
    </w:tbl>
    <w:p w14:paraId="1D81AA10" w14:textId="77777777" w:rsidR="004B10D1" w:rsidRPr="009554F1" w:rsidRDefault="004B10D1" w:rsidP="00244234">
      <w:pPr>
        <w:pStyle w:val="CoPNumberlevel1"/>
        <w:numPr>
          <w:ilvl w:val="0"/>
          <w:numId w:val="0"/>
        </w:numPr>
        <w:ind w:left="709"/>
      </w:pPr>
      <w:bookmarkStart w:id="26" w:name="_GoBack"/>
      <w:bookmarkEnd w:id="26"/>
    </w:p>
    <w:sectPr w:rsidR="004B10D1" w:rsidRPr="009554F1"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AE5C" w14:textId="77777777" w:rsidR="00871603" w:rsidRDefault="00871603" w:rsidP="00E21955">
      <w:pPr>
        <w:spacing w:after="0" w:line="240" w:lineRule="auto"/>
      </w:pPr>
      <w:r>
        <w:separator/>
      </w:r>
    </w:p>
  </w:endnote>
  <w:endnote w:type="continuationSeparator" w:id="0">
    <w:p w14:paraId="26F69803" w14:textId="77777777" w:rsidR="00871603" w:rsidRDefault="00871603"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A39F" w14:textId="77777777" w:rsidR="00237D1E" w:rsidRDefault="00904E2A" w:rsidP="00CA5861">
    <w:pPr>
      <w:pStyle w:val="Footer"/>
      <w:rPr>
        <w:rFonts w:ascii="Arial" w:hAnsi="Arial" w:cs="Arial"/>
        <w:sz w:val="16"/>
        <w:szCs w:val="16"/>
      </w:rPr>
    </w:pPr>
    <w:r>
      <w:rPr>
        <w:rFonts w:ascii="Arial" w:hAnsi="Arial" w:cs="Arial"/>
        <w:sz w:val="16"/>
        <w:szCs w:val="16"/>
      </w:rPr>
      <w:pict w14:anchorId="729D6AFC">
        <v:rect id="_x0000_i1025" style="width:0;height:1.5pt" o:hralign="center" o:hrstd="t" o:hr="t" fillcolor="#a0a0a0" stroked="f"/>
      </w:pict>
    </w:r>
  </w:p>
  <w:p w14:paraId="2AE2C1D6" w14:textId="7E3DD68A" w:rsidR="00237D1E" w:rsidRPr="007E0F79" w:rsidRDefault="00244234" w:rsidP="00CA5861">
    <w:pPr>
      <w:pStyle w:val="Footer"/>
      <w:rPr>
        <w:rFonts w:ascii="Arial" w:hAnsi="Arial" w:cs="Arial"/>
        <w:sz w:val="16"/>
        <w:szCs w:val="16"/>
      </w:rPr>
    </w:pPr>
    <w:r>
      <w:rPr>
        <w:rFonts w:ascii="Arial" w:hAnsi="Arial" w:cs="Arial"/>
        <w:sz w:val="16"/>
        <w:szCs w:val="16"/>
      </w:rPr>
      <w:t xml:space="preserve">Version: </w:t>
    </w:r>
    <w:r w:rsidR="00965180">
      <w:rPr>
        <w:rFonts w:ascii="Arial" w:hAnsi="Arial" w:cs="Arial"/>
        <w:sz w:val="16"/>
        <w:szCs w:val="16"/>
      </w:rPr>
      <w:t>2.</w:t>
    </w:r>
    <w:r w:rsidR="00904E2A">
      <w:rPr>
        <w:rFonts w:ascii="Arial" w:hAnsi="Arial" w:cs="Arial"/>
        <w:sz w:val="16"/>
        <w:szCs w:val="16"/>
      </w:rPr>
      <w:t>1</w:t>
    </w:r>
  </w:p>
  <w:p w14:paraId="5832F5A0" w14:textId="4CA24BFE" w:rsidR="00237D1E" w:rsidRPr="007E0F79" w:rsidRDefault="00237D1E" w:rsidP="00CA5861">
    <w:pPr>
      <w:pStyle w:val="Default"/>
      <w:rPr>
        <w:sz w:val="16"/>
        <w:szCs w:val="16"/>
      </w:rPr>
    </w:pPr>
    <w:r>
      <w:rPr>
        <w:sz w:val="16"/>
        <w:szCs w:val="16"/>
      </w:rPr>
      <w:t>Code of Practice on Assessment and Feedback</w:t>
    </w:r>
  </w:p>
  <w:p w14:paraId="3605CE85" w14:textId="60818172" w:rsidR="00237D1E" w:rsidRPr="00AC7F89" w:rsidRDefault="00662DBE"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237D1E">
      <w:rPr>
        <w:rFonts w:ascii="Arial" w:hAnsi="Arial" w:cs="Arial"/>
        <w:color w:val="000000"/>
        <w:sz w:val="16"/>
        <w:szCs w:val="16"/>
      </w:rPr>
      <w:t>:</w:t>
    </w:r>
    <w:r w:rsidR="00904E2A">
      <w:rPr>
        <w:rFonts w:ascii="Arial" w:hAnsi="Arial" w:cs="Arial"/>
        <w:color w:val="000000"/>
        <w:sz w:val="16"/>
        <w:szCs w:val="16"/>
      </w:rPr>
      <w:t xml:space="preserve"> 1.2.19</w:t>
    </w:r>
    <w:r w:rsidR="00237D1E">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237D1E" w:rsidRPr="007E0F79">
          <w:rPr>
            <w:rFonts w:ascii="Arial" w:hAnsi="Arial" w:cs="Arial"/>
            <w:sz w:val="16"/>
            <w:szCs w:val="16"/>
          </w:rPr>
          <w:t xml:space="preserve">Page </w:t>
        </w:r>
        <w:r w:rsidR="00237D1E" w:rsidRPr="007E0F79">
          <w:rPr>
            <w:rFonts w:ascii="Arial" w:hAnsi="Arial" w:cs="Arial"/>
            <w:sz w:val="16"/>
            <w:szCs w:val="16"/>
          </w:rPr>
          <w:fldChar w:fldCharType="begin"/>
        </w:r>
        <w:r w:rsidR="00237D1E" w:rsidRPr="007E0F79">
          <w:rPr>
            <w:rFonts w:ascii="Arial" w:hAnsi="Arial" w:cs="Arial"/>
            <w:sz w:val="16"/>
            <w:szCs w:val="16"/>
          </w:rPr>
          <w:instrText xml:space="preserve"> PAGE </w:instrText>
        </w:r>
        <w:r w:rsidR="00237D1E" w:rsidRPr="007E0F79">
          <w:rPr>
            <w:rFonts w:ascii="Arial" w:hAnsi="Arial" w:cs="Arial"/>
            <w:sz w:val="16"/>
            <w:szCs w:val="16"/>
          </w:rPr>
          <w:fldChar w:fldCharType="separate"/>
        </w:r>
        <w:r w:rsidR="00831021">
          <w:rPr>
            <w:rFonts w:ascii="Arial" w:hAnsi="Arial" w:cs="Arial"/>
            <w:noProof/>
            <w:sz w:val="16"/>
            <w:szCs w:val="16"/>
          </w:rPr>
          <w:t>18</w:t>
        </w:r>
        <w:r w:rsidR="00237D1E" w:rsidRPr="007E0F79">
          <w:rPr>
            <w:rFonts w:ascii="Arial" w:hAnsi="Arial" w:cs="Arial"/>
            <w:sz w:val="16"/>
            <w:szCs w:val="16"/>
          </w:rPr>
          <w:fldChar w:fldCharType="end"/>
        </w:r>
        <w:r w:rsidR="00237D1E" w:rsidRPr="007E0F79">
          <w:rPr>
            <w:rFonts w:ascii="Arial" w:hAnsi="Arial" w:cs="Arial"/>
            <w:sz w:val="16"/>
            <w:szCs w:val="16"/>
          </w:rPr>
          <w:t xml:space="preserve"> of </w:t>
        </w:r>
        <w:r w:rsidR="00237D1E" w:rsidRPr="007E0F79">
          <w:rPr>
            <w:rFonts w:ascii="Arial" w:hAnsi="Arial" w:cs="Arial"/>
            <w:sz w:val="16"/>
            <w:szCs w:val="16"/>
          </w:rPr>
          <w:fldChar w:fldCharType="begin"/>
        </w:r>
        <w:r w:rsidR="00237D1E" w:rsidRPr="007E0F79">
          <w:rPr>
            <w:rFonts w:ascii="Arial" w:hAnsi="Arial" w:cs="Arial"/>
            <w:sz w:val="16"/>
            <w:szCs w:val="16"/>
          </w:rPr>
          <w:instrText xml:space="preserve"> NUMPAGES  </w:instrText>
        </w:r>
        <w:r w:rsidR="00237D1E" w:rsidRPr="007E0F79">
          <w:rPr>
            <w:rFonts w:ascii="Arial" w:hAnsi="Arial" w:cs="Arial"/>
            <w:sz w:val="16"/>
            <w:szCs w:val="16"/>
          </w:rPr>
          <w:fldChar w:fldCharType="separate"/>
        </w:r>
        <w:r w:rsidR="00831021">
          <w:rPr>
            <w:rFonts w:ascii="Arial" w:hAnsi="Arial" w:cs="Arial"/>
            <w:noProof/>
            <w:sz w:val="16"/>
            <w:szCs w:val="16"/>
          </w:rPr>
          <w:t>18</w:t>
        </w:r>
        <w:r w:rsidR="00237D1E"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6CA0" w14:textId="77777777" w:rsidR="00871603" w:rsidRDefault="00871603" w:rsidP="00E21955">
      <w:pPr>
        <w:spacing w:after="0" w:line="240" w:lineRule="auto"/>
      </w:pPr>
      <w:r>
        <w:separator/>
      </w:r>
    </w:p>
  </w:footnote>
  <w:footnote w:type="continuationSeparator" w:id="0">
    <w:p w14:paraId="25866BA3" w14:textId="77777777" w:rsidR="00871603" w:rsidRDefault="00871603"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BC25D7"/>
    <w:multiLevelType w:val="hybridMultilevel"/>
    <w:tmpl w:val="053ACB84"/>
    <w:lvl w:ilvl="0" w:tplc="2F7E759A">
      <w:start w:val="1"/>
      <w:numFmt w:val="bullet"/>
      <w:pStyle w:val="CoP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500FF"/>
    <w:multiLevelType w:val="multilevel"/>
    <w:tmpl w:val="5E8A6D8C"/>
    <w:lvl w:ilvl="0">
      <w:start w:val="1"/>
      <w:numFmt w:val="decimal"/>
      <w:lvlText w:val="%1"/>
      <w:lvlJc w:val="left"/>
      <w:pPr>
        <w:ind w:left="360" w:hanging="360"/>
      </w:pPr>
      <w:rPr>
        <w:rFonts w:hint="default"/>
      </w:rPr>
    </w:lvl>
    <w:lvl w:ilvl="1">
      <w:start w:val="1"/>
      <w:numFmt w:val="decimal"/>
      <w:pStyle w:val="CoPNumberlevel1"/>
      <w:isLgl/>
      <w:lvlText w:val="%1.%2"/>
      <w:lvlJc w:val="left"/>
      <w:pPr>
        <w:ind w:left="1277" w:hanging="567"/>
      </w:pPr>
      <w:rPr>
        <w:rFonts w:ascii="Arial" w:hAnsi="Arial" w:hint="default"/>
        <w:b w:val="0"/>
        <w:spacing w:val="0"/>
        <w:sz w:val="22"/>
      </w:rPr>
    </w:lvl>
    <w:lvl w:ilvl="2">
      <w:start w:val="1"/>
      <w:numFmt w:val="decimal"/>
      <w:pStyle w:val="CoPNumberlevel2"/>
      <w:isLgl/>
      <w:lvlText w:val="%1.%2.%3"/>
      <w:lvlJc w:val="left"/>
      <w:pPr>
        <w:ind w:left="1844"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2C3DAD"/>
    <w:multiLevelType w:val="hybridMultilevel"/>
    <w:tmpl w:val="A502E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1790B"/>
    <w:rsid w:val="00025E4F"/>
    <w:rsid w:val="00027FD8"/>
    <w:rsid w:val="0003403D"/>
    <w:rsid w:val="00034B7F"/>
    <w:rsid w:val="000406BE"/>
    <w:rsid w:val="000406D1"/>
    <w:rsid w:val="000544E9"/>
    <w:rsid w:val="00054E1B"/>
    <w:rsid w:val="00055DA4"/>
    <w:rsid w:val="00063E00"/>
    <w:rsid w:val="00067149"/>
    <w:rsid w:val="00067BA0"/>
    <w:rsid w:val="00067E24"/>
    <w:rsid w:val="00080E11"/>
    <w:rsid w:val="00084650"/>
    <w:rsid w:val="0008729C"/>
    <w:rsid w:val="000964AF"/>
    <w:rsid w:val="00096FB8"/>
    <w:rsid w:val="00097C03"/>
    <w:rsid w:val="000B3F85"/>
    <w:rsid w:val="000C12E6"/>
    <w:rsid w:val="000C31EB"/>
    <w:rsid w:val="000D3EE5"/>
    <w:rsid w:val="000D5CE3"/>
    <w:rsid w:val="000D7265"/>
    <w:rsid w:val="000D7A9C"/>
    <w:rsid w:val="000E03EC"/>
    <w:rsid w:val="000E35FD"/>
    <w:rsid w:val="000F6406"/>
    <w:rsid w:val="00103B64"/>
    <w:rsid w:val="00111CE8"/>
    <w:rsid w:val="00115242"/>
    <w:rsid w:val="001154BD"/>
    <w:rsid w:val="00120AB7"/>
    <w:rsid w:val="001229F7"/>
    <w:rsid w:val="00132F50"/>
    <w:rsid w:val="001336F8"/>
    <w:rsid w:val="00134CA5"/>
    <w:rsid w:val="001374E7"/>
    <w:rsid w:val="00137567"/>
    <w:rsid w:val="00140831"/>
    <w:rsid w:val="00141FBA"/>
    <w:rsid w:val="0014250B"/>
    <w:rsid w:val="00143707"/>
    <w:rsid w:val="00146771"/>
    <w:rsid w:val="001471C6"/>
    <w:rsid w:val="00151302"/>
    <w:rsid w:val="001536BF"/>
    <w:rsid w:val="00157227"/>
    <w:rsid w:val="00176069"/>
    <w:rsid w:val="001760F5"/>
    <w:rsid w:val="00177BE0"/>
    <w:rsid w:val="00185C41"/>
    <w:rsid w:val="00186B4B"/>
    <w:rsid w:val="00196210"/>
    <w:rsid w:val="001968D2"/>
    <w:rsid w:val="001A046A"/>
    <w:rsid w:val="001A6B5B"/>
    <w:rsid w:val="001B05D9"/>
    <w:rsid w:val="001B3D26"/>
    <w:rsid w:val="001C66A4"/>
    <w:rsid w:val="001D7DA9"/>
    <w:rsid w:val="001E27A0"/>
    <w:rsid w:val="001E7FE3"/>
    <w:rsid w:val="001F34CD"/>
    <w:rsid w:val="001F6F5E"/>
    <w:rsid w:val="001F7D2D"/>
    <w:rsid w:val="0020508F"/>
    <w:rsid w:val="002110F4"/>
    <w:rsid w:val="00212A09"/>
    <w:rsid w:val="00216118"/>
    <w:rsid w:val="002162FB"/>
    <w:rsid w:val="00217205"/>
    <w:rsid w:val="00221A13"/>
    <w:rsid w:val="00232308"/>
    <w:rsid w:val="0023410E"/>
    <w:rsid w:val="00237D1E"/>
    <w:rsid w:val="00244234"/>
    <w:rsid w:val="002476F8"/>
    <w:rsid w:val="00254AE6"/>
    <w:rsid w:val="002551D1"/>
    <w:rsid w:val="002555C8"/>
    <w:rsid w:val="00273626"/>
    <w:rsid w:val="00273A05"/>
    <w:rsid w:val="00276B97"/>
    <w:rsid w:val="00285202"/>
    <w:rsid w:val="00286B33"/>
    <w:rsid w:val="00287DBF"/>
    <w:rsid w:val="002A2C51"/>
    <w:rsid w:val="002B160C"/>
    <w:rsid w:val="002B39C0"/>
    <w:rsid w:val="002B3E77"/>
    <w:rsid w:val="002B64D3"/>
    <w:rsid w:val="002C2D7F"/>
    <w:rsid w:val="002C7E71"/>
    <w:rsid w:val="002D3179"/>
    <w:rsid w:val="002E5C2F"/>
    <w:rsid w:val="002E6B50"/>
    <w:rsid w:val="002E7217"/>
    <w:rsid w:val="002E7D2F"/>
    <w:rsid w:val="002F663B"/>
    <w:rsid w:val="002F6F1B"/>
    <w:rsid w:val="002F73D7"/>
    <w:rsid w:val="00302E95"/>
    <w:rsid w:val="00314FED"/>
    <w:rsid w:val="00315094"/>
    <w:rsid w:val="0032454A"/>
    <w:rsid w:val="0033564F"/>
    <w:rsid w:val="00340EE0"/>
    <w:rsid w:val="003428C4"/>
    <w:rsid w:val="003432C7"/>
    <w:rsid w:val="003451D3"/>
    <w:rsid w:val="003455D9"/>
    <w:rsid w:val="00347D48"/>
    <w:rsid w:val="0035302D"/>
    <w:rsid w:val="00356167"/>
    <w:rsid w:val="003568A9"/>
    <w:rsid w:val="003608E2"/>
    <w:rsid w:val="00371D06"/>
    <w:rsid w:val="003740C5"/>
    <w:rsid w:val="003773EF"/>
    <w:rsid w:val="00384F14"/>
    <w:rsid w:val="00395FB9"/>
    <w:rsid w:val="00397BDB"/>
    <w:rsid w:val="003B501E"/>
    <w:rsid w:val="003B72D2"/>
    <w:rsid w:val="003B7EE9"/>
    <w:rsid w:val="003C05BC"/>
    <w:rsid w:val="003C45A6"/>
    <w:rsid w:val="003C5E2D"/>
    <w:rsid w:val="003C7524"/>
    <w:rsid w:val="003E328F"/>
    <w:rsid w:val="003E5663"/>
    <w:rsid w:val="00400CFC"/>
    <w:rsid w:val="004014AF"/>
    <w:rsid w:val="00402D4E"/>
    <w:rsid w:val="0042383C"/>
    <w:rsid w:val="004250EE"/>
    <w:rsid w:val="00431D1A"/>
    <w:rsid w:val="00432753"/>
    <w:rsid w:val="004578E1"/>
    <w:rsid w:val="00481740"/>
    <w:rsid w:val="00482D75"/>
    <w:rsid w:val="0049136C"/>
    <w:rsid w:val="00496624"/>
    <w:rsid w:val="004A28A4"/>
    <w:rsid w:val="004A6CF3"/>
    <w:rsid w:val="004A6EE4"/>
    <w:rsid w:val="004B10D1"/>
    <w:rsid w:val="004B2F27"/>
    <w:rsid w:val="004B5C73"/>
    <w:rsid w:val="004B602A"/>
    <w:rsid w:val="004C50CF"/>
    <w:rsid w:val="004D0A9E"/>
    <w:rsid w:val="004D4BC4"/>
    <w:rsid w:val="004D6584"/>
    <w:rsid w:val="004E42D6"/>
    <w:rsid w:val="004E5623"/>
    <w:rsid w:val="004F2639"/>
    <w:rsid w:val="005030D6"/>
    <w:rsid w:val="005121B5"/>
    <w:rsid w:val="005144E0"/>
    <w:rsid w:val="00514521"/>
    <w:rsid w:val="00521FC0"/>
    <w:rsid w:val="00524EB3"/>
    <w:rsid w:val="005258BB"/>
    <w:rsid w:val="00527065"/>
    <w:rsid w:val="00546972"/>
    <w:rsid w:val="0055578F"/>
    <w:rsid w:val="005575D9"/>
    <w:rsid w:val="00560E9E"/>
    <w:rsid w:val="00564B29"/>
    <w:rsid w:val="005709FB"/>
    <w:rsid w:val="00571EA2"/>
    <w:rsid w:val="0057702A"/>
    <w:rsid w:val="00590738"/>
    <w:rsid w:val="005A0E8C"/>
    <w:rsid w:val="005A17DF"/>
    <w:rsid w:val="005C6CC7"/>
    <w:rsid w:val="005C7B3B"/>
    <w:rsid w:val="005E0570"/>
    <w:rsid w:val="005E6CE6"/>
    <w:rsid w:val="005E7A45"/>
    <w:rsid w:val="005F11E0"/>
    <w:rsid w:val="0060135B"/>
    <w:rsid w:val="006023B5"/>
    <w:rsid w:val="006025EE"/>
    <w:rsid w:val="006113B5"/>
    <w:rsid w:val="00611736"/>
    <w:rsid w:val="00612C31"/>
    <w:rsid w:val="00616AD9"/>
    <w:rsid w:val="00627DB8"/>
    <w:rsid w:val="00631080"/>
    <w:rsid w:val="006374B3"/>
    <w:rsid w:val="00653896"/>
    <w:rsid w:val="006577E6"/>
    <w:rsid w:val="006611CE"/>
    <w:rsid w:val="00662AC8"/>
    <w:rsid w:val="00662DBE"/>
    <w:rsid w:val="00664B65"/>
    <w:rsid w:val="006707CC"/>
    <w:rsid w:val="0067281F"/>
    <w:rsid w:val="006835D3"/>
    <w:rsid w:val="00692B99"/>
    <w:rsid w:val="00693CF6"/>
    <w:rsid w:val="006D3DD5"/>
    <w:rsid w:val="006D76E4"/>
    <w:rsid w:val="006E23DD"/>
    <w:rsid w:val="006E52C5"/>
    <w:rsid w:val="006E6266"/>
    <w:rsid w:val="006F6C8A"/>
    <w:rsid w:val="006F7B63"/>
    <w:rsid w:val="00702214"/>
    <w:rsid w:val="0070301E"/>
    <w:rsid w:val="007057D1"/>
    <w:rsid w:val="00706FB8"/>
    <w:rsid w:val="00724BBC"/>
    <w:rsid w:val="007306DA"/>
    <w:rsid w:val="00731C55"/>
    <w:rsid w:val="00734C64"/>
    <w:rsid w:val="00752CEA"/>
    <w:rsid w:val="0075655C"/>
    <w:rsid w:val="007569D7"/>
    <w:rsid w:val="007739E7"/>
    <w:rsid w:val="00777293"/>
    <w:rsid w:val="00782606"/>
    <w:rsid w:val="007826FE"/>
    <w:rsid w:val="00784DD2"/>
    <w:rsid w:val="007876BC"/>
    <w:rsid w:val="00794E7A"/>
    <w:rsid w:val="007A30E4"/>
    <w:rsid w:val="007B25C4"/>
    <w:rsid w:val="007C40C3"/>
    <w:rsid w:val="007D067D"/>
    <w:rsid w:val="007E123F"/>
    <w:rsid w:val="007E1A41"/>
    <w:rsid w:val="007E21FE"/>
    <w:rsid w:val="007E31E1"/>
    <w:rsid w:val="007F5096"/>
    <w:rsid w:val="008044CD"/>
    <w:rsid w:val="00805611"/>
    <w:rsid w:val="00813891"/>
    <w:rsid w:val="00815CD2"/>
    <w:rsid w:val="0081768F"/>
    <w:rsid w:val="008213D4"/>
    <w:rsid w:val="00825CB9"/>
    <w:rsid w:val="00826603"/>
    <w:rsid w:val="00827647"/>
    <w:rsid w:val="00831021"/>
    <w:rsid w:val="008313BA"/>
    <w:rsid w:val="00843646"/>
    <w:rsid w:val="008442A6"/>
    <w:rsid w:val="00846190"/>
    <w:rsid w:val="00846FB2"/>
    <w:rsid w:val="0084788E"/>
    <w:rsid w:val="00853D2A"/>
    <w:rsid w:val="008630EF"/>
    <w:rsid w:val="00871603"/>
    <w:rsid w:val="00874748"/>
    <w:rsid w:val="00875AF7"/>
    <w:rsid w:val="00876075"/>
    <w:rsid w:val="00896494"/>
    <w:rsid w:val="008A1BBE"/>
    <w:rsid w:val="008A7588"/>
    <w:rsid w:val="008B6CFC"/>
    <w:rsid w:val="008C2F53"/>
    <w:rsid w:val="008C7D36"/>
    <w:rsid w:val="008D12C2"/>
    <w:rsid w:val="008E19B5"/>
    <w:rsid w:val="008E3E61"/>
    <w:rsid w:val="008F2E3C"/>
    <w:rsid w:val="008F6960"/>
    <w:rsid w:val="00900E9E"/>
    <w:rsid w:val="00904E2A"/>
    <w:rsid w:val="0090725D"/>
    <w:rsid w:val="00915038"/>
    <w:rsid w:val="00920550"/>
    <w:rsid w:val="00921498"/>
    <w:rsid w:val="00922CE2"/>
    <w:rsid w:val="0092740C"/>
    <w:rsid w:val="009323AC"/>
    <w:rsid w:val="0093643F"/>
    <w:rsid w:val="009408F8"/>
    <w:rsid w:val="0095025C"/>
    <w:rsid w:val="00951065"/>
    <w:rsid w:val="009554F1"/>
    <w:rsid w:val="00965180"/>
    <w:rsid w:val="00966547"/>
    <w:rsid w:val="00974334"/>
    <w:rsid w:val="00974FCC"/>
    <w:rsid w:val="00981629"/>
    <w:rsid w:val="009823DC"/>
    <w:rsid w:val="0098423E"/>
    <w:rsid w:val="009843DF"/>
    <w:rsid w:val="00984885"/>
    <w:rsid w:val="009873CE"/>
    <w:rsid w:val="0099600C"/>
    <w:rsid w:val="009B10B3"/>
    <w:rsid w:val="009B4404"/>
    <w:rsid w:val="009B4F49"/>
    <w:rsid w:val="009B62E2"/>
    <w:rsid w:val="009B781B"/>
    <w:rsid w:val="009C3526"/>
    <w:rsid w:val="009D1568"/>
    <w:rsid w:val="009D2E67"/>
    <w:rsid w:val="009D72B1"/>
    <w:rsid w:val="009E4D81"/>
    <w:rsid w:val="009F24BF"/>
    <w:rsid w:val="00A00166"/>
    <w:rsid w:val="00A11E5B"/>
    <w:rsid w:val="00A123C5"/>
    <w:rsid w:val="00A1563B"/>
    <w:rsid w:val="00A24D49"/>
    <w:rsid w:val="00A25B5E"/>
    <w:rsid w:val="00A278F6"/>
    <w:rsid w:val="00A307EA"/>
    <w:rsid w:val="00A378DC"/>
    <w:rsid w:val="00A456D2"/>
    <w:rsid w:val="00A4655B"/>
    <w:rsid w:val="00A47860"/>
    <w:rsid w:val="00A62DAB"/>
    <w:rsid w:val="00A70811"/>
    <w:rsid w:val="00A708BF"/>
    <w:rsid w:val="00A74A2D"/>
    <w:rsid w:val="00A77CE3"/>
    <w:rsid w:val="00A84CBC"/>
    <w:rsid w:val="00A85A11"/>
    <w:rsid w:val="00A85B07"/>
    <w:rsid w:val="00A91F8A"/>
    <w:rsid w:val="00A9402C"/>
    <w:rsid w:val="00A95D7A"/>
    <w:rsid w:val="00A96C21"/>
    <w:rsid w:val="00A97BF3"/>
    <w:rsid w:val="00AA5D0B"/>
    <w:rsid w:val="00AB2FD6"/>
    <w:rsid w:val="00AB7772"/>
    <w:rsid w:val="00AC0553"/>
    <w:rsid w:val="00AC7DE2"/>
    <w:rsid w:val="00AD0B66"/>
    <w:rsid w:val="00AD446E"/>
    <w:rsid w:val="00AD5BB5"/>
    <w:rsid w:val="00AE23A9"/>
    <w:rsid w:val="00AE4F1A"/>
    <w:rsid w:val="00AE7468"/>
    <w:rsid w:val="00AF57E6"/>
    <w:rsid w:val="00B036D6"/>
    <w:rsid w:val="00B07501"/>
    <w:rsid w:val="00B17C8A"/>
    <w:rsid w:val="00B24B16"/>
    <w:rsid w:val="00B313B4"/>
    <w:rsid w:val="00B32B25"/>
    <w:rsid w:val="00B34036"/>
    <w:rsid w:val="00B34628"/>
    <w:rsid w:val="00B368F1"/>
    <w:rsid w:val="00B42460"/>
    <w:rsid w:val="00B438A5"/>
    <w:rsid w:val="00B70695"/>
    <w:rsid w:val="00B81A46"/>
    <w:rsid w:val="00B93103"/>
    <w:rsid w:val="00B93797"/>
    <w:rsid w:val="00BB2003"/>
    <w:rsid w:val="00BB3562"/>
    <w:rsid w:val="00BB7E56"/>
    <w:rsid w:val="00BC3559"/>
    <w:rsid w:val="00BC4E98"/>
    <w:rsid w:val="00BD058F"/>
    <w:rsid w:val="00BD5650"/>
    <w:rsid w:val="00BE231D"/>
    <w:rsid w:val="00BE3E36"/>
    <w:rsid w:val="00BE79EA"/>
    <w:rsid w:val="00BF2BD9"/>
    <w:rsid w:val="00BF4223"/>
    <w:rsid w:val="00C0017B"/>
    <w:rsid w:val="00C001F3"/>
    <w:rsid w:val="00C040BE"/>
    <w:rsid w:val="00C11613"/>
    <w:rsid w:val="00C214F7"/>
    <w:rsid w:val="00C24DB8"/>
    <w:rsid w:val="00C356B9"/>
    <w:rsid w:val="00C454F3"/>
    <w:rsid w:val="00C616E1"/>
    <w:rsid w:val="00C6490E"/>
    <w:rsid w:val="00C64B92"/>
    <w:rsid w:val="00C659A9"/>
    <w:rsid w:val="00C66365"/>
    <w:rsid w:val="00C72FD5"/>
    <w:rsid w:val="00C74D0D"/>
    <w:rsid w:val="00C7558A"/>
    <w:rsid w:val="00C8024F"/>
    <w:rsid w:val="00C828AE"/>
    <w:rsid w:val="00C85507"/>
    <w:rsid w:val="00C90F0A"/>
    <w:rsid w:val="00C91E32"/>
    <w:rsid w:val="00C922ED"/>
    <w:rsid w:val="00C934D2"/>
    <w:rsid w:val="00CA2CD7"/>
    <w:rsid w:val="00CA33D3"/>
    <w:rsid w:val="00CA5861"/>
    <w:rsid w:val="00CD07BC"/>
    <w:rsid w:val="00CD35C7"/>
    <w:rsid w:val="00CF2FBC"/>
    <w:rsid w:val="00CF6C2B"/>
    <w:rsid w:val="00D00B9E"/>
    <w:rsid w:val="00D15C7E"/>
    <w:rsid w:val="00D16944"/>
    <w:rsid w:val="00D23717"/>
    <w:rsid w:val="00D25CCF"/>
    <w:rsid w:val="00D35BAE"/>
    <w:rsid w:val="00D4060F"/>
    <w:rsid w:val="00D40B14"/>
    <w:rsid w:val="00D46534"/>
    <w:rsid w:val="00D47BFE"/>
    <w:rsid w:val="00D55889"/>
    <w:rsid w:val="00D6697B"/>
    <w:rsid w:val="00D72C5D"/>
    <w:rsid w:val="00D806D7"/>
    <w:rsid w:val="00D97960"/>
    <w:rsid w:val="00DA34D4"/>
    <w:rsid w:val="00DB06B6"/>
    <w:rsid w:val="00DB0CD9"/>
    <w:rsid w:val="00DB0EE7"/>
    <w:rsid w:val="00DB17AE"/>
    <w:rsid w:val="00DC28EE"/>
    <w:rsid w:val="00DC29F2"/>
    <w:rsid w:val="00DC5F0B"/>
    <w:rsid w:val="00DD001D"/>
    <w:rsid w:val="00DD4890"/>
    <w:rsid w:val="00DD7A62"/>
    <w:rsid w:val="00DE1BD1"/>
    <w:rsid w:val="00DE2B7E"/>
    <w:rsid w:val="00DE3148"/>
    <w:rsid w:val="00DE3B53"/>
    <w:rsid w:val="00DE68D3"/>
    <w:rsid w:val="00DF0C7F"/>
    <w:rsid w:val="00DF594E"/>
    <w:rsid w:val="00DF6889"/>
    <w:rsid w:val="00E02DF0"/>
    <w:rsid w:val="00E03F1F"/>
    <w:rsid w:val="00E06115"/>
    <w:rsid w:val="00E061A5"/>
    <w:rsid w:val="00E16DC4"/>
    <w:rsid w:val="00E21955"/>
    <w:rsid w:val="00E2635D"/>
    <w:rsid w:val="00E37F24"/>
    <w:rsid w:val="00E434E9"/>
    <w:rsid w:val="00E43E6B"/>
    <w:rsid w:val="00E50BF4"/>
    <w:rsid w:val="00E565B9"/>
    <w:rsid w:val="00E61E3F"/>
    <w:rsid w:val="00E647DC"/>
    <w:rsid w:val="00E84CDC"/>
    <w:rsid w:val="00E92B0F"/>
    <w:rsid w:val="00E9635E"/>
    <w:rsid w:val="00E97777"/>
    <w:rsid w:val="00EA6BBC"/>
    <w:rsid w:val="00EB19C8"/>
    <w:rsid w:val="00EB7D08"/>
    <w:rsid w:val="00EC2AE1"/>
    <w:rsid w:val="00EC2C7C"/>
    <w:rsid w:val="00EC5D7B"/>
    <w:rsid w:val="00ED1585"/>
    <w:rsid w:val="00ED2E4B"/>
    <w:rsid w:val="00ED4A53"/>
    <w:rsid w:val="00ED4B81"/>
    <w:rsid w:val="00EE0A7E"/>
    <w:rsid w:val="00EF35B9"/>
    <w:rsid w:val="00EF4F88"/>
    <w:rsid w:val="00F013AA"/>
    <w:rsid w:val="00F05987"/>
    <w:rsid w:val="00F074DC"/>
    <w:rsid w:val="00F14C5E"/>
    <w:rsid w:val="00F17943"/>
    <w:rsid w:val="00F2189C"/>
    <w:rsid w:val="00F22E6A"/>
    <w:rsid w:val="00F24A4C"/>
    <w:rsid w:val="00F30E62"/>
    <w:rsid w:val="00F426A4"/>
    <w:rsid w:val="00F460C6"/>
    <w:rsid w:val="00F514B0"/>
    <w:rsid w:val="00F55604"/>
    <w:rsid w:val="00F57397"/>
    <w:rsid w:val="00F70E21"/>
    <w:rsid w:val="00F71102"/>
    <w:rsid w:val="00F76977"/>
    <w:rsid w:val="00F93752"/>
    <w:rsid w:val="00FA091E"/>
    <w:rsid w:val="00FA77A8"/>
    <w:rsid w:val="00FB00E9"/>
    <w:rsid w:val="00FB3FEC"/>
    <w:rsid w:val="00FC2294"/>
    <w:rsid w:val="00FC2F2B"/>
    <w:rsid w:val="00FC5ABB"/>
    <w:rsid w:val="00FD7516"/>
    <w:rsid w:val="00FF116C"/>
    <w:rsid w:val="00FF1CE7"/>
    <w:rsid w:val="00FF22DA"/>
    <w:rsid w:val="00FF256E"/>
    <w:rsid w:val="00FF35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DAF07CB"/>
  <w15:docId w15:val="{9639933D-4F3F-4E48-82E8-CD100291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1"/>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2"/>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4B10D1"/>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FC2294"/>
    <w:pPr>
      <w:numPr>
        <w:numId w:val="6"/>
      </w:numPr>
      <w:autoSpaceDE w:val="0"/>
      <w:autoSpaceDN w:val="0"/>
      <w:adjustRightInd w:val="0"/>
      <w:spacing w:before="120" w:after="120" w:line="240" w:lineRule="auto"/>
      <w:ind w:left="993" w:right="346" w:hanging="426"/>
      <w:contextualSpacing w:val="0"/>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4"/>
      </w:numPr>
      <w:spacing w:before="480"/>
    </w:pPr>
    <w:rPr>
      <w:b/>
      <w:color w:val="943634" w:themeColor="accent2" w:themeShade="BF"/>
    </w:rPr>
  </w:style>
  <w:style w:type="paragraph" w:styleId="TOC2">
    <w:name w:val="toc 2"/>
    <w:basedOn w:val="Style1"/>
    <w:next w:val="Normal"/>
    <w:autoRedefine/>
    <w:uiPriority w:val="39"/>
    <w:unhideWhenUsed/>
    <w:rsid w:val="009E4D81"/>
    <w:p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FC2294"/>
    <w:rPr>
      <w:rFonts w:ascii="Arial" w:hAnsi="Arial" w:cs="Arial"/>
    </w:rPr>
  </w:style>
  <w:style w:type="character" w:customStyle="1" w:styleId="CoPSubHeadChar">
    <w:name w:val="CoP SubHead Char"/>
    <w:basedOn w:val="CoPbulletChar"/>
    <w:link w:val="CoPSubHead"/>
    <w:rsid w:val="00920550"/>
    <w:rPr>
      <w:rFonts w:ascii="Arial" w:hAnsi="Arial" w:cs="Arial"/>
      <w:b/>
      <w:color w:val="943634" w:themeColor="accent2" w:themeShade="BF"/>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ind w:left="0"/>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5"/>
      </w:numPr>
    </w:pPr>
  </w:style>
  <w:style w:type="paragraph" w:styleId="TOC3">
    <w:name w:val="toc 3"/>
    <w:basedOn w:val="CoPNumberlevel2"/>
    <w:next w:val="Normal"/>
    <w:autoRedefine/>
    <w:uiPriority w:val="39"/>
    <w:unhideWhenUsed/>
    <w:rsid w:val="00662AC8"/>
    <w:pPr>
      <w:numPr>
        <w:ilvl w:val="0"/>
        <w:numId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244234"/>
    <w:pPr>
      <w:numPr>
        <w:ilvl w:val="1"/>
        <w:numId w:val="5"/>
      </w:numPr>
      <w:spacing w:before="240" w:after="120"/>
      <w:ind w:left="709" w:hanging="709"/>
      <w:contextualSpacing w:val="0"/>
    </w:pPr>
  </w:style>
  <w:style w:type="paragraph" w:customStyle="1" w:styleId="CoPNumberlevel2">
    <w:name w:val="CoP Number level 2"/>
    <w:basedOn w:val="Style1"/>
    <w:qFormat/>
    <w:rsid w:val="00244234"/>
    <w:pPr>
      <w:numPr>
        <w:ilvl w:val="2"/>
        <w:numId w:val="5"/>
      </w:numPr>
      <w:spacing w:before="120" w:after="120"/>
      <w:ind w:left="1418" w:hanging="709"/>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3"/>
      </w:numPr>
      <w:contextualSpacing/>
    </w:pPr>
  </w:style>
  <w:style w:type="paragraph" w:styleId="BodyTextIndent3">
    <w:name w:val="Body Text Indent 3"/>
    <w:basedOn w:val="Normal"/>
    <w:link w:val="BodyTextIndent3Char"/>
    <w:uiPriority w:val="99"/>
    <w:rsid w:val="002551D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2551D1"/>
    <w:rPr>
      <w:rFonts w:ascii="Times New Roman" w:eastAsia="Times New Roman" w:hAnsi="Times New Roman" w:cs="Times New Roman"/>
      <w:sz w:val="16"/>
      <w:szCs w:val="16"/>
    </w:rPr>
  </w:style>
  <w:style w:type="paragraph" w:customStyle="1" w:styleId="Style3">
    <w:name w:val="Style3"/>
    <w:basedOn w:val="Style1"/>
    <w:link w:val="Style3Char"/>
    <w:qFormat/>
    <w:rsid w:val="00653896"/>
    <w:pPr>
      <w:spacing w:before="240" w:after="120"/>
      <w:ind w:left="567"/>
      <w:contextualSpacing w:val="0"/>
    </w:pPr>
  </w:style>
  <w:style w:type="paragraph" w:styleId="Revision">
    <w:name w:val="Revision"/>
    <w:hidden/>
    <w:uiPriority w:val="99"/>
    <w:semiHidden/>
    <w:rsid w:val="009823DC"/>
    <w:pPr>
      <w:spacing w:after="0" w:line="240" w:lineRule="auto"/>
    </w:pPr>
  </w:style>
  <w:style w:type="character" w:customStyle="1" w:styleId="Style3Char">
    <w:name w:val="Style3 Char"/>
    <w:basedOn w:val="Style1Char"/>
    <w:link w:val="Style3"/>
    <w:rsid w:val="0065389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661983">
      <w:bodyDiv w:val="1"/>
      <w:marLeft w:val="0"/>
      <w:marRight w:val="0"/>
      <w:marTop w:val="0"/>
      <w:marBottom w:val="0"/>
      <w:divBdr>
        <w:top w:val="none" w:sz="0" w:space="0" w:color="auto"/>
        <w:left w:val="none" w:sz="0" w:space="0" w:color="auto"/>
        <w:bottom w:val="none" w:sz="0" w:space="0" w:color="auto"/>
        <w:right w:val="none" w:sz="0" w:space="0" w:color="auto"/>
      </w:divBdr>
      <w:divsChild>
        <w:div w:id="1210535983">
          <w:marLeft w:val="0"/>
          <w:marRight w:val="0"/>
          <w:marTop w:val="0"/>
          <w:marBottom w:val="0"/>
          <w:divBdr>
            <w:top w:val="none" w:sz="0" w:space="0" w:color="auto"/>
            <w:left w:val="none" w:sz="0" w:space="0" w:color="auto"/>
            <w:bottom w:val="none" w:sz="0" w:space="0" w:color="auto"/>
            <w:right w:val="none" w:sz="0" w:space="0" w:color="auto"/>
          </w:divBdr>
        </w:div>
        <w:div w:id="1150559680">
          <w:marLeft w:val="0"/>
          <w:marRight w:val="0"/>
          <w:marTop w:val="0"/>
          <w:marBottom w:val="0"/>
          <w:divBdr>
            <w:top w:val="none" w:sz="0" w:space="0" w:color="auto"/>
            <w:left w:val="none" w:sz="0" w:space="0" w:color="auto"/>
            <w:bottom w:val="none" w:sz="0" w:space="0" w:color="auto"/>
            <w:right w:val="none" w:sz="0" w:space="0" w:color="auto"/>
          </w:divBdr>
        </w:div>
        <w:div w:id="1107582512">
          <w:marLeft w:val="0"/>
          <w:marRight w:val="0"/>
          <w:marTop w:val="0"/>
          <w:marBottom w:val="0"/>
          <w:divBdr>
            <w:top w:val="none" w:sz="0" w:space="0" w:color="auto"/>
            <w:left w:val="none" w:sz="0" w:space="0" w:color="auto"/>
            <w:bottom w:val="none" w:sz="0" w:space="0" w:color="auto"/>
            <w:right w:val="none" w:sz="0" w:space="0" w:color="auto"/>
          </w:divBdr>
        </w:div>
        <w:div w:id="1897937319">
          <w:marLeft w:val="0"/>
          <w:marRight w:val="0"/>
          <w:marTop w:val="0"/>
          <w:marBottom w:val="0"/>
          <w:divBdr>
            <w:top w:val="none" w:sz="0" w:space="0" w:color="auto"/>
            <w:left w:val="none" w:sz="0" w:space="0" w:color="auto"/>
            <w:bottom w:val="none" w:sz="0" w:space="0" w:color="auto"/>
            <w:right w:val="none" w:sz="0" w:space="0" w:color="auto"/>
          </w:divBdr>
        </w:div>
        <w:div w:id="1671643033">
          <w:marLeft w:val="0"/>
          <w:marRight w:val="0"/>
          <w:marTop w:val="0"/>
          <w:marBottom w:val="0"/>
          <w:divBdr>
            <w:top w:val="none" w:sz="0" w:space="0" w:color="auto"/>
            <w:left w:val="none" w:sz="0" w:space="0" w:color="auto"/>
            <w:bottom w:val="none" w:sz="0" w:space="0" w:color="auto"/>
            <w:right w:val="none" w:sz="0" w:space="0" w:color="auto"/>
          </w:divBdr>
        </w:div>
        <w:div w:id="1710491133">
          <w:marLeft w:val="0"/>
          <w:marRight w:val="0"/>
          <w:marTop w:val="0"/>
          <w:marBottom w:val="0"/>
          <w:divBdr>
            <w:top w:val="none" w:sz="0" w:space="0" w:color="auto"/>
            <w:left w:val="none" w:sz="0" w:space="0" w:color="auto"/>
            <w:bottom w:val="none" w:sz="0" w:space="0" w:color="auto"/>
            <w:right w:val="none" w:sz="0" w:space="0" w:color="auto"/>
          </w:divBdr>
        </w:div>
        <w:div w:id="864296051">
          <w:marLeft w:val="0"/>
          <w:marRight w:val="0"/>
          <w:marTop w:val="0"/>
          <w:marBottom w:val="0"/>
          <w:divBdr>
            <w:top w:val="none" w:sz="0" w:space="0" w:color="auto"/>
            <w:left w:val="none" w:sz="0" w:space="0" w:color="auto"/>
            <w:bottom w:val="none" w:sz="0" w:space="0" w:color="auto"/>
            <w:right w:val="none" w:sz="0" w:space="0" w:color="auto"/>
          </w:divBdr>
        </w:div>
        <w:div w:id="1982466435">
          <w:marLeft w:val="0"/>
          <w:marRight w:val="0"/>
          <w:marTop w:val="0"/>
          <w:marBottom w:val="0"/>
          <w:divBdr>
            <w:top w:val="none" w:sz="0" w:space="0" w:color="auto"/>
            <w:left w:val="none" w:sz="0" w:space="0" w:color="auto"/>
            <w:bottom w:val="none" w:sz="0" w:space="0" w:color="auto"/>
            <w:right w:val="none" w:sz="0" w:space="0" w:color="auto"/>
          </w:divBdr>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7BFA-EDE6-4E09-991F-607B1D5E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17</TotalTime>
  <Pages>18</Pages>
  <Words>5577</Words>
  <Characters>31791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jfisher</dc:creator>
  <cp:lastModifiedBy>Ruth Pollard</cp:lastModifiedBy>
  <cp:revision>4</cp:revision>
  <cp:lastPrinted>2017-10-27T15:49:00Z</cp:lastPrinted>
  <dcterms:created xsi:type="dcterms:W3CDTF">2019-01-24T16:58:00Z</dcterms:created>
  <dcterms:modified xsi:type="dcterms:W3CDTF">2019-01-29T15:26:00Z</dcterms:modified>
</cp:coreProperties>
</file>