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7994"/>
      </w:tblGrid>
      <w:tr w:rsidR="00614512" w:rsidRPr="00212170" w14:paraId="6996CBF7" w14:textId="77777777" w:rsidTr="00D37DD4">
        <w:tc>
          <w:tcPr>
            <w:tcW w:w="10886" w:type="dxa"/>
            <w:gridSpan w:val="3"/>
            <w:tcBorders>
              <w:top w:val="nil"/>
              <w:left w:val="nil"/>
              <w:bottom w:val="nil"/>
              <w:right w:val="nil"/>
            </w:tcBorders>
            <w:shd w:val="clear" w:color="auto" w:fill="auto"/>
            <w:tcMar>
              <w:top w:w="28" w:type="dxa"/>
              <w:left w:w="57" w:type="dxa"/>
              <w:bottom w:w="28" w:type="dxa"/>
              <w:right w:w="57" w:type="dxa"/>
            </w:tcMar>
          </w:tcPr>
          <w:p w14:paraId="1AE8A1E0" w14:textId="2BC44093" w:rsidR="00212170" w:rsidRPr="00212170" w:rsidRDefault="00212170" w:rsidP="00212170">
            <w:pPr>
              <w:pStyle w:val="Heading2"/>
              <w:rPr>
                <w:rFonts w:asciiTheme="minorHAnsi" w:hAnsiTheme="minorHAnsi" w:cstheme="minorHAnsi"/>
                <w:i w:val="0"/>
                <w:iCs w:val="0"/>
                <w:sz w:val="22"/>
                <w:szCs w:val="22"/>
              </w:rPr>
            </w:pPr>
            <w:r w:rsidRPr="00212170">
              <w:rPr>
                <w:rFonts w:asciiTheme="minorHAnsi" w:hAnsiTheme="minorHAnsi" w:cstheme="minorHAnsi"/>
                <w:i w:val="0"/>
                <w:iCs w:val="0"/>
                <w:sz w:val="22"/>
                <w:szCs w:val="22"/>
              </w:rPr>
              <w:t>Part A: Programme Summary Information</w:t>
            </w:r>
          </w:p>
        </w:tc>
      </w:tr>
      <w:tr w:rsidR="00614512" w:rsidRPr="00212170" w14:paraId="1378DA7E"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91BA86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5188A4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Title of Programme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697DA03B" w14:textId="77777777" w:rsidR="00212170" w:rsidRPr="00212170" w:rsidRDefault="00212170" w:rsidP="0029651A">
            <w:pPr>
              <w:spacing w:after="0" w:line="240" w:lineRule="auto"/>
              <w:rPr>
                <w:rFonts w:asciiTheme="minorHAnsi" w:hAnsiTheme="minorHAnsi" w:cstheme="minorHAnsi"/>
                <w:b/>
                <w:sz w:val="20"/>
              </w:rPr>
            </w:pPr>
            <w:r w:rsidRPr="00212170">
              <w:rPr>
                <w:rFonts w:asciiTheme="minorHAnsi" w:hAnsiTheme="minorHAnsi" w:cstheme="minorHAnsi"/>
                <w:b/>
                <w:sz w:val="20"/>
              </w:rPr>
              <w:t>Public Health (Humanitarian Health)</w:t>
            </w:r>
          </w:p>
        </w:tc>
      </w:tr>
      <w:tr w:rsidR="00614512" w:rsidRPr="00212170" w14:paraId="2D31CD3C"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E62CC32" w14:textId="77777777" w:rsidR="00212170" w:rsidRPr="00212170" w:rsidRDefault="00212170"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F406B63" w14:textId="77777777" w:rsidR="00212170" w:rsidRPr="00212170" w:rsidRDefault="00212170"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75648AE8"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142A7AFD"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6A9B4073"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1046AD2"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Programme Code</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0182DB7A"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MPH/HH</w:t>
            </w:r>
          </w:p>
        </w:tc>
      </w:tr>
      <w:tr w:rsidR="00614512" w:rsidRPr="00212170" w14:paraId="3D0D3EAB"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CBD0112" w14:textId="77777777" w:rsidR="00212170" w:rsidRPr="00212170" w:rsidRDefault="00212170"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9DEE79E" w14:textId="77777777" w:rsidR="00212170" w:rsidRPr="00212170" w:rsidRDefault="00212170"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376872EA"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0B00DDA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02A00C9"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3</w:t>
            </w:r>
          </w:p>
        </w:tc>
        <w:tc>
          <w:tcPr>
            <w:tcW w:w="2410" w:type="dxa"/>
            <w:tcBorders>
              <w:top w:val="nil"/>
              <w:left w:val="nil"/>
              <w:bottom w:val="nil"/>
              <w:right w:val="nil"/>
            </w:tcBorders>
            <w:shd w:val="clear" w:color="auto" w:fill="auto"/>
            <w:tcMar>
              <w:top w:w="28" w:type="dxa"/>
              <w:left w:w="57" w:type="dxa"/>
              <w:bottom w:w="28" w:type="dxa"/>
              <w:right w:w="57" w:type="dxa"/>
            </w:tcMar>
          </w:tcPr>
          <w:p w14:paraId="266CF09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Entry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3C57AFD2" w14:textId="77777777" w:rsidR="00212170" w:rsidRPr="00212170" w:rsidRDefault="00212170" w:rsidP="00D37DD4">
            <w:pPr>
              <w:spacing w:after="0" w:line="240" w:lineRule="auto"/>
              <w:rPr>
                <w:rFonts w:asciiTheme="minorHAnsi" w:hAnsiTheme="minorHAnsi" w:cstheme="minorHAnsi"/>
                <w:sz w:val="20"/>
              </w:rPr>
            </w:pPr>
          </w:p>
        </w:tc>
      </w:tr>
      <w:tr w:rsidR="00614512" w:rsidRPr="00212170" w14:paraId="2E0B84BE"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B438198"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3a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7CF73B8"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Entry Award 1</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5C9728F7"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lang w:eastAsia="en-GB"/>
              </w:rPr>
              <w:fldChar w:fldCharType="begin"/>
            </w:r>
            <w:r w:rsidRPr="00212170">
              <w:rPr>
                <w:rFonts w:asciiTheme="minorHAnsi" w:hAnsiTheme="minorHAnsi" w:cstheme="minorHAnsi"/>
                <w:lang w:eastAsia="en-GB"/>
              </w:rPr>
              <w:instrText xml:space="preserve"> IF   "7" = "" "N/A" "</w:instrText>
            </w:r>
            <w:r w:rsidRPr="00212170">
              <w:rPr>
                <w:rFonts w:asciiTheme="minorHAnsi" w:hAnsiTheme="minorHAnsi" w:cstheme="minorHAnsi"/>
                <w:sz w:val="20"/>
                <w:szCs w:val="20"/>
                <w:lang w:eastAsia="en-GB"/>
              </w:rPr>
              <w:instrText>MPH – 180 Credits:7</w:instrText>
            </w:r>
            <w:r w:rsidRPr="00212170">
              <w:rPr>
                <w:rFonts w:asciiTheme="minorHAnsi" w:hAnsiTheme="minorHAnsi" w:cstheme="minorHAnsi"/>
                <w:lang w:eastAsia="en-GB"/>
              </w:rPr>
              <w:instrText xml:space="preserve">" </w:instrText>
            </w:r>
            <w:r w:rsidRPr="00212170">
              <w:rPr>
                <w:rFonts w:asciiTheme="minorHAnsi" w:hAnsiTheme="minorHAnsi" w:cstheme="minorHAnsi"/>
                <w:lang w:eastAsia="en-GB"/>
              </w:rPr>
              <w:fldChar w:fldCharType="separate"/>
            </w:r>
            <w:r w:rsidRPr="00212170">
              <w:rPr>
                <w:rFonts w:asciiTheme="minorHAnsi" w:hAnsiTheme="minorHAnsi" w:cstheme="minorHAnsi"/>
                <w:sz w:val="20"/>
                <w:szCs w:val="20"/>
                <w:lang w:eastAsia="en-GB"/>
              </w:rPr>
              <w:t>MPH – 180 Credits:7</w:t>
            </w:r>
            <w:r w:rsidRPr="00212170">
              <w:rPr>
                <w:rFonts w:asciiTheme="minorHAnsi" w:hAnsiTheme="minorHAnsi" w:cstheme="minorHAnsi"/>
                <w:lang w:eastAsia="en-GB"/>
              </w:rPr>
              <w:fldChar w:fldCharType="end"/>
            </w:r>
          </w:p>
        </w:tc>
      </w:tr>
      <w:tr w:rsidR="00614512" w:rsidRPr="00212170" w14:paraId="3E1DF26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AF02DEA"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3b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B1E2906"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Entry Award 2</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0F189BCE" w14:textId="77777777" w:rsidR="00212170" w:rsidRPr="00212170" w:rsidRDefault="00212170" w:rsidP="0048075D">
            <w:pPr>
              <w:spacing w:after="0" w:line="240" w:lineRule="auto"/>
              <w:rPr>
                <w:rFonts w:asciiTheme="minorHAnsi" w:hAnsiTheme="minorHAnsi" w:cstheme="minorHAnsi"/>
                <w:sz w:val="20"/>
              </w:rPr>
            </w:pPr>
            <w:r w:rsidRPr="00212170">
              <w:rPr>
                <w:rFonts w:asciiTheme="minorHAnsi" w:hAnsiTheme="minorHAnsi" w:cstheme="minorHAnsi"/>
                <w:lang w:eastAsia="en-GB"/>
              </w:rPr>
              <w:fldChar w:fldCharType="begin"/>
            </w:r>
            <w:r w:rsidRPr="00212170">
              <w:rPr>
                <w:rFonts w:asciiTheme="minorHAnsi" w:hAnsiTheme="minorHAnsi" w:cstheme="minorHAnsi"/>
                <w:lang w:eastAsia="en-GB"/>
              </w:rPr>
              <w:instrText xml:space="preserve"> IF   "7" = "" "N/A" "</w:instrText>
            </w:r>
            <w:r w:rsidRPr="00212170">
              <w:rPr>
                <w:rFonts w:asciiTheme="minorHAnsi" w:hAnsiTheme="minorHAnsi" w:cstheme="minorHAnsi"/>
                <w:sz w:val="20"/>
                <w:szCs w:val="20"/>
                <w:lang w:eastAsia="en-GB"/>
              </w:rPr>
              <w:instrText>PGDip – 120 Credits:7</w:instrText>
            </w:r>
            <w:r w:rsidRPr="00212170">
              <w:rPr>
                <w:rFonts w:asciiTheme="minorHAnsi" w:hAnsiTheme="minorHAnsi" w:cstheme="minorHAnsi"/>
                <w:lang w:eastAsia="en-GB"/>
              </w:rPr>
              <w:instrText xml:space="preserve">" </w:instrText>
            </w:r>
            <w:r w:rsidRPr="00212170">
              <w:rPr>
                <w:rFonts w:asciiTheme="minorHAnsi" w:hAnsiTheme="minorHAnsi" w:cstheme="minorHAnsi"/>
                <w:lang w:eastAsia="en-GB"/>
              </w:rPr>
              <w:fldChar w:fldCharType="separate"/>
            </w:r>
            <w:r w:rsidRPr="00212170">
              <w:rPr>
                <w:rFonts w:asciiTheme="minorHAnsi" w:hAnsiTheme="minorHAnsi" w:cstheme="minorHAnsi"/>
                <w:sz w:val="20"/>
                <w:szCs w:val="20"/>
                <w:lang w:eastAsia="en-GB"/>
              </w:rPr>
              <w:t>PGDip – 120 Credits:7</w:t>
            </w:r>
            <w:r w:rsidRPr="00212170">
              <w:rPr>
                <w:rFonts w:asciiTheme="minorHAnsi" w:hAnsiTheme="minorHAnsi" w:cstheme="minorHAnsi"/>
                <w:lang w:eastAsia="en-GB"/>
              </w:rPr>
              <w:fldChar w:fldCharType="end"/>
            </w:r>
          </w:p>
        </w:tc>
      </w:tr>
      <w:tr w:rsidR="00614512" w:rsidRPr="00212170" w14:paraId="15A0412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1DE8EE40"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3c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C08D3C3"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Entry Award 3</w:t>
            </w:r>
          </w:p>
        </w:tc>
        <w:tc>
          <w:tcPr>
            <w:tcW w:w="7994" w:type="dxa"/>
            <w:tcBorders>
              <w:top w:val="single" w:sz="4" w:space="0" w:color="A6A6A6"/>
              <w:left w:val="single" w:sz="4" w:space="0" w:color="A6A6A6"/>
              <w:bottom w:val="single" w:sz="4" w:space="0" w:color="A6A6A6"/>
              <w:right w:val="single" w:sz="4" w:space="0" w:color="A6A6A6"/>
            </w:tcBorders>
            <w:shd w:val="clear" w:color="FFFFFF" w:fill="F0F0F0"/>
            <w:tcMar>
              <w:top w:w="28" w:type="dxa"/>
              <w:left w:w="57" w:type="dxa"/>
              <w:bottom w:w="28" w:type="dxa"/>
              <w:right w:w="57" w:type="dxa"/>
            </w:tcMar>
          </w:tcPr>
          <w:p w14:paraId="49B09065" w14:textId="77777777" w:rsidR="00212170" w:rsidRPr="00212170" w:rsidRDefault="00212170" w:rsidP="0048075D">
            <w:pPr>
              <w:spacing w:after="0" w:line="240" w:lineRule="auto"/>
              <w:rPr>
                <w:rFonts w:asciiTheme="minorHAnsi" w:hAnsiTheme="minorHAnsi" w:cstheme="minorHAnsi"/>
                <w:sz w:val="20"/>
              </w:rPr>
            </w:pPr>
            <w:r w:rsidRPr="00212170">
              <w:rPr>
                <w:rFonts w:asciiTheme="minorHAnsi" w:hAnsiTheme="minorHAnsi" w:cstheme="minorHAnsi"/>
                <w:lang w:eastAsia="en-GB"/>
              </w:rPr>
              <w:fldChar w:fldCharType="begin"/>
            </w:r>
            <w:r w:rsidRPr="00212170">
              <w:rPr>
                <w:rFonts w:asciiTheme="minorHAnsi" w:hAnsiTheme="minorHAnsi" w:cstheme="minorHAnsi"/>
                <w:lang w:eastAsia="en-GB"/>
              </w:rPr>
              <w:instrText xml:space="preserve"> IF   "7" = "" "N/A" "</w:instrText>
            </w:r>
            <w:r w:rsidRPr="00212170">
              <w:rPr>
                <w:rFonts w:asciiTheme="minorHAnsi" w:hAnsiTheme="minorHAnsi" w:cstheme="minorHAnsi"/>
                <w:sz w:val="20"/>
                <w:szCs w:val="20"/>
                <w:lang w:eastAsia="en-GB"/>
              </w:rPr>
              <w:instrText>PGCert – 60 Credits:7</w:instrText>
            </w:r>
            <w:r w:rsidRPr="00212170">
              <w:rPr>
                <w:rFonts w:asciiTheme="minorHAnsi" w:hAnsiTheme="minorHAnsi" w:cstheme="minorHAnsi"/>
                <w:lang w:eastAsia="en-GB"/>
              </w:rPr>
              <w:instrText xml:space="preserve">" </w:instrText>
            </w:r>
            <w:r w:rsidRPr="00212170">
              <w:rPr>
                <w:rFonts w:asciiTheme="minorHAnsi" w:hAnsiTheme="minorHAnsi" w:cstheme="minorHAnsi"/>
                <w:lang w:eastAsia="en-GB"/>
              </w:rPr>
              <w:fldChar w:fldCharType="separate"/>
            </w:r>
            <w:r w:rsidRPr="00212170">
              <w:rPr>
                <w:rFonts w:asciiTheme="minorHAnsi" w:hAnsiTheme="minorHAnsi" w:cstheme="minorHAnsi"/>
                <w:sz w:val="20"/>
                <w:szCs w:val="20"/>
                <w:lang w:eastAsia="en-GB"/>
              </w:rPr>
              <w:t>PGCert – 60 Credits:7</w:t>
            </w:r>
            <w:r w:rsidRPr="00212170">
              <w:rPr>
                <w:rFonts w:asciiTheme="minorHAnsi" w:hAnsiTheme="minorHAnsi" w:cstheme="minorHAnsi"/>
                <w:lang w:eastAsia="en-GB"/>
              </w:rPr>
              <w:fldChar w:fldCharType="end"/>
            </w:r>
          </w:p>
        </w:tc>
      </w:tr>
      <w:tr w:rsidR="00614512" w:rsidRPr="00212170" w14:paraId="6C7DA1A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FEFE2BC" w14:textId="77777777" w:rsidR="00212170" w:rsidRPr="00212170" w:rsidRDefault="00212170"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0DA2C46" w14:textId="77777777" w:rsidR="00212170" w:rsidRPr="00212170" w:rsidRDefault="00212170" w:rsidP="00D37DD4">
            <w:pPr>
              <w:spacing w:after="0" w:line="240" w:lineRule="auto"/>
              <w:rPr>
                <w:rFonts w:asciiTheme="minorHAnsi" w:hAnsiTheme="minorHAnsi" w:cstheme="minorHAnsi"/>
                <w:sz w:val="8"/>
                <w:szCs w:val="10"/>
              </w:rPr>
            </w:pPr>
          </w:p>
        </w:tc>
        <w:tc>
          <w:tcPr>
            <w:tcW w:w="7994" w:type="dxa"/>
            <w:tcBorders>
              <w:top w:val="single" w:sz="4" w:space="0" w:color="A6A6A6"/>
              <w:left w:val="nil"/>
              <w:bottom w:val="nil"/>
              <w:right w:val="nil"/>
            </w:tcBorders>
            <w:shd w:val="clear" w:color="auto" w:fill="auto"/>
            <w:tcMar>
              <w:top w:w="28" w:type="dxa"/>
              <w:left w:w="57" w:type="dxa"/>
              <w:bottom w:w="28" w:type="dxa"/>
              <w:right w:w="57" w:type="dxa"/>
            </w:tcMar>
          </w:tcPr>
          <w:p w14:paraId="7CE15B6F"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561FEEC7"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AAEF535"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4</w:t>
            </w:r>
          </w:p>
        </w:tc>
        <w:tc>
          <w:tcPr>
            <w:tcW w:w="2410" w:type="dxa"/>
            <w:tcBorders>
              <w:top w:val="nil"/>
              <w:left w:val="nil"/>
              <w:bottom w:val="nil"/>
              <w:right w:val="nil"/>
            </w:tcBorders>
            <w:shd w:val="clear" w:color="auto" w:fill="auto"/>
            <w:tcMar>
              <w:top w:w="28" w:type="dxa"/>
              <w:left w:w="57" w:type="dxa"/>
              <w:bottom w:w="28" w:type="dxa"/>
              <w:right w:w="57" w:type="dxa"/>
            </w:tcMar>
          </w:tcPr>
          <w:p w14:paraId="1501C9FF"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Exit Award (s):</w:t>
            </w:r>
          </w:p>
        </w:tc>
        <w:tc>
          <w:tcPr>
            <w:tcW w:w="7994" w:type="dxa"/>
            <w:tcBorders>
              <w:top w:val="nil"/>
              <w:left w:val="nil"/>
              <w:bottom w:val="single" w:sz="4" w:space="0" w:color="A6A6A6"/>
              <w:right w:val="nil"/>
            </w:tcBorders>
            <w:shd w:val="clear" w:color="auto" w:fill="auto"/>
            <w:tcMar>
              <w:top w:w="28" w:type="dxa"/>
              <w:left w:w="57" w:type="dxa"/>
              <w:bottom w:w="28" w:type="dxa"/>
              <w:right w:w="57" w:type="dxa"/>
            </w:tcMar>
          </w:tcPr>
          <w:p w14:paraId="00AF0A04" w14:textId="77777777" w:rsidR="00212170" w:rsidRPr="00212170" w:rsidRDefault="00212170" w:rsidP="00D37DD4">
            <w:pPr>
              <w:spacing w:after="0" w:line="240" w:lineRule="auto"/>
              <w:rPr>
                <w:rFonts w:asciiTheme="minorHAnsi" w:hAnsiTheme="minorHAnsi" w:cstheme="minorHAnsi"/>
                <w:sz w:val="20"/>
              </w:rPr>
            </w:pPr>
          </w:p>
        </w:tc>
      </w:tr>
      <w:tr w:rsidR="00614512" w:rsidRPr="00212170" w14:paraId="491BBB89"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2183265"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4a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552136D"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Exit Award 1</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8C0020F" w14:textId="77777777" w:rsidR="00212170" w:rsidRPr="00212170" w:rsidRDefault="00212170" w:rsidP="0048075D">
            <w:pPr>
              <w:spacing w:after="0" w:line="240" w:lineRule="auto"/>
              <w:rPr>
                <w:rFonts w:asciiTheme="minorHAnsi" w:hAnsiTheme="minorHAnsi" w:cstheme="minorHAnsi"/>
                <w:sz w:val="20"/>
              </w:rPr>
            </w:pPr>
            <w:r w:rsidRPr="00212170">
              <w:rPr>
                <w:rFonts w:asciiTheme="minorHAnsi" w:hAnsiTheme="minorHAnsi" w:cstheme="minorHAnsi"/>
                <w:lang w:eastAsia="en-GB"/>
              </w:rPr>
              <w:fldChar w:fldCharType="begin"/>
            </w:r>
            <w:r w:rsidRPr="00212170">
              <w:rPr>
                <w:rFonts w:asciiTheme="minorHAnsi" w:hAnsiTheme="minorHAnsi" w:cstheme="minorHAnsi"/>
                <w:lang w:eastAsia="en-GB"/>
              </w:rPr>
              <w:instrText xml:space="preserve"> IF   "7" = "" "N/A" "</w:instrText>
            </w:r>
            <w:r w:rsidRPr="00212170">
              <w:rPr>
                <w:rFonts w:asciiTheme="minorHAnsi" w:hAnsiTheme="minorHAnsi" w:cstheme="minorHAnsi"/>
                <w:sz w:val="20"/>
                <w:szCs w:val="20"/>
                <w:lang w:eastAsia="en-GB"/>
              </w:rPr>
              <w:instrText>MPH – 180 Credits:7</w:instrText>
            </w:r>
            <w:r w:rsidRPr="00212170">
              <w:rPr>
                <w:rFonts w:asciiTheme="minorHAnsi" w:hAnsiTheme="minorHAnsi" w:cstheme="minorHAnsi"/>
                <w:lang w:eastAsia="en-GB"/>
              </w:rPr>
              <w:instrText xml:space="preserve">" </w:instrText>
            </w:r>
            <w:r w:rsidRPr="00212170">
              <w:rPr>
                <w:rFonts w:asciiTheme="minorHAnsi" w:hAnsiTheme="minorHAnsi" w:cstheme="minorHAnsi"/>
                <w:lang w:eastAsia="en-GB"/>
              </w:rPr>
              <w:fldChar w:fldCharType="separate"/>
            </w:r>
            <w:r w:rsidRPr="00212170">
              <w:rPr>
                <w:rFonts w:asciiTheme="minorHAnsi" w:hAnsiTheme="minorHAnsi" w:cstheme="minorHAnsi"/>
                <w:sz w:val="20"/>
                <w:szCs w:val="20"/>
                <w:lang w:eastAsia="en-GB"/>
              </w:rPr>
              <w:t>MPH – 180 Credits:7</w:t>
            </w:r>
            <w:r w:rsidRPr="00212170">
              <w:rPr>
                <w:rFonts w:asciiTheme="minorHAnsi" w:hAnsiTheme="minorHAnsi" w:cstheme="minorHAnsi"/>
                <w:lang w:eastAsia="en-GB"/>
              </w:rPr>
              <w:fldChar w:fldCharType="end"/>
            </w:r>
          </w:p>
        </w:tc>
      </w:tr>
      <w:tr w:rsidR="00614512" w:rsidRPr="00212170" w14:paraId="4B23E42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47F6588D"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4b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0AFF4A2"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Exit Award 2</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948DBC6" w14:textId="77777777" w:rsidR="00212170" w:rsidRPr="00212170" w:rsidRDefault="00212170" w:rsidP="0048075D">
            <w:pPr>
              <w:spacing w:after="0" w:line="240" w:lineRule="auto"/>
              <w:rPr>
                <w:rFonts w:asciiTheme="minorHAnsi" w:hAnsiTheme="minorHAnsi" w:cstheme="minorHAnsi"/>
                <w:sz w:val="20"/>
              </w:rPr>
            </w:pPr>
            <w:r w:rsidRPr="00212170">
              <w:rPr>
                <w:rFonts w:asciiTheme="minorHAnsi" w:hAnsiTheme="minorHAnsi" w:cstheme="minorHAnsi"/>
                <w:lang w:eastAsia="en-GB"/>
              </w:rPr>
              <w:fldChar w:fldCharType="begin"/>
            </w:r>
            <w:r w:rsidRPr="00212170">
              <w:rPr>
                <w:rFonts w:asciiTheme="minorHAnsi" w:hAnsiTheme="minorHAnsi" w:cstheme="minorHAnsi"/>
                <w:lang w:eastAsia="en-GB"/>
              </w:rPr>
              <w:instrText xml:space="preserve"> IF   "7" = "" "N/A" "</w:instrText>
            </w:r>
            <w:r w:rsidRPr="00212170">
              <w:rPr>
                <w:rFonts w:asciiTheme="minorHAnsi" w:hAnsiTheme="minorHAnsi" w:cstheme="minorHAnsi"/>
                <w:sz w:val="20"/>
                <w:szCs w:val="20"/>
                <w:lang w:eastAsia="en-GB"/>
              </w:rPr>
              <w:instrText>PGDip – 120 Credits:7</w:instrText>
            </w:r>
            <w:r w:rsidRPr="00212170">
              <w:rPr>
                <w:rFonts w:asciiTheme="minorHAnsi" w:hAnsiTheme="minorHAnsi" w:cstheme="minorHAnsi"/>
                <w:lang w:eastAsia="en-GB"/>
              </w:rPr>
              <w:instrText xml:space="preserve">" </w:instrText>
            </w:r>
            <w:r w:rsidRPr="00212170">
              <w:rPr>
                <w:rFonts w:asciiTheme="minorHAnsi" w:hAnsiTheme="minorHAnsi" w:cstheme="minorHAnsi"/>
                <w:lang w:eastAsia="en-GB"/>
              </w:rPr>
              <w:fldChar w:fldCharType="separate"/>
            </w:r>
            <w:r w:rsidRPr="00212170">
              <w:rPr>
                <w:rFonts w:asciiTheme="minorHAnsi" w:hAnsiTheme="minorHAnsi" w:cstheme="minorHAnsi"/>
                <w:sz w:val="20"/>
                <w:szCs w:val="20"/>
                <w:lang w:eastAsia="en-GB"/>
              </w:rPr>
              <w:t>PGDip – 120 Credits:7</w:t>
            </w:r>
            <w:r w:rsidRPr="00212170">
              <w:rPr>
                <w:rFonts w:asciiTheme="minorHAnsi" w:hAnsiTheme="minorHAnsi" w:cstheme="minorHAnsi"/>
                <w:lang w:eastAsia="en-GB"/>
              </w:rPr>
              <w:fldChar w:fldCharType="end"/>
            </w:r>
          </w:p>
        </w:tc>
      </w:tr>
      <w:tr w:rsidR="00614512" w:rsidRPr="00212170" w14:paraId="2282880E"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AF40F2C"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4c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FF6D982" w14:textId="77777777" w:rsidR="00212170" w:rsidRPr="00212170" w:rsidRDefault="00212170" w:rsidP="00D37DD4">
            <w:pPr>
              <w:spacing w:after="0" w:line="240" w:lineRule="auto"/>
              <w:rPr>
                <w:rFonts w:asciiTheme="minorHAnsi" w:hAnsiTheme="minorHAnsi" w:cstheme="minorHAnsi"/>
                <w:color w:val="333333"/>
                <w:sz w:val="20"/>
              </w:rPr>
            </w:pPr>
            <w:r w:rsidRPr="00212170">
              <w:rPr>
                <w:rFonts w:asciiTheme="minorHAnsi" w:hAnsiTheme="minorHAnsi" w:cstheme="minorHAnsi"/>
                <w:color w:val="333333"/>
                <w:sz w:val="20"/>
              </w:rPr>
              <w:t>Exit Award 3</w:t>
            </w:r>
          </w:p>
        </w:tc>
        <w:tc>
          <w:tcPr>
            <w:tcW w:w="7994"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0337D9" w14:textId="77777777" w:rsidR="00212170" w:rsidRPr="00212170" w:rsidRDefault="00212170" w:rsidP="00F941D1">
            <w:pPr>
              <w:spacing w:after="0" w:line="240" w:lineRule="auto"/>
              <w:rPr>
                <w:rFonts w:asciiTheme="minorHAnsi" w:hAnsiTheme="minorHAnsi" w:cstheme="minorHAnsi"/>
                <w:sz w:val="20"/>
              </w:rPr>
            </w:pPr>
            <w:r w:rsidRPr="00212170">
              <w:rPr>
                <w:rFonts w:asciiTheme="minorHAnsi" w:hAnsiTheme="minorHAnsi" w:cstheme="minorHAnsi"/>
                <w:lang w:eastAsia="en-GB"/>
              </w:rPr>
              <w:fldChar w:fldCharType="begin"/>
            </w:r>
            <w:r w:rsidRPr="00212170">
              <w:rPr>
                <w:rFonts w:asciiTheme="minorHAnsi" w:hAnsiTheme="minorHAnsi" w:cstheme="minorHAnsi"/>
                <w:lang w:eastAsia="en-GB"/>
              </w:rPr>
              <w:instrText xml:space="preserve"> IF   "7" = "" "N/A" "</w:instrText>
            </w:r>
            <w:r w:rsidRPr="00212170">
              <w:rPr>
                <w:rFonts w:asciiTheme="minorHAnsi" w:hAnsiTheme="minorHAnsi" w:cstheme="minorHAnsi"/>
                <w:sz w:val="20"/>
                <w:szCs w:val="20"/>
                <w:lang w:eastAsia="en-GB"/>
              </w:rPr>
              <w:instrText>PGCert – 60 Credits:7</w:instrText>
            </w:r>
            <w:r w:rsidRPr="00212170">
              <w:rPr>
                <w:rFonts w:asciiTheme="minorHAnsi" w:hAnsiTheme="minorHAnsi" w:cstheme="minorHAnsi"/>
                <w:lang w:eastAsia="en-GB"/>
              </w:rPr>
              <w:instrText xml:space="preserve">" </w:instrText>
            </w:r>
            <w:r w:rsidRPr="00212170">
              <w:rPr>
                <w:rFonts w:asciiTheme="minorHAnsi" w:hAnsiTheme="minorHAnsi" w:cstheme="minorHAnsi"/>
                <w:lang w:eastAsia="en-GB"/>
              </w:rPr>
              <w:fldChar w:fldCharType="separate"/>
            </w:r>
            <w:r w:rsidRPr="00212170">
              <w:rPr>
                <w:rFonts w:asciiTheme="minorHAnsi" w:hAnsiTheme="minorHAnsi" w:cstheme="minorHAnsi"/>
                <w:sz w:val="20"/>
                <w:szCs w:val="20"/>
                <w:lang w:eastAsia="en-GB"/>
              </w:rPr>
              <w:t>PGCert – 60 Credits:7</w:t>
            </w:r>
            <w:r w:rsidRPr="00212170">
              <w:rPr>
                <w:rFonts w:asciiTheme="minorHAnsi" w:hAnsiTheme="minorHAnsi" w:cstheme="minorHAnsi"/>
                <w:lang w:eastAsia="en-GB"/>
              </w:rPr>
              <w:fldChar w:fldCharType="end"/>
            </w:r>
          </w:p>
        </w:tc>
      </w:tr>
    </w:tbl>
    <w:p w14:paraId="04AA3D42" w14:textId="77777777" w:rsidR="00212170" w:rsidRPr="00212170" w:rsidRDefault="00212170" w:rsidP="00D37DD4">
      <w:pPr>
        <w:tabs>
          <w:tab w:val="left" w:pos="482"/>
          <w:tab w:val="left" w:pos="2892"/>
        </w:tabs>
        <w:spacing w:after="0" w:line="240" w:lineRule="auto"/>
        <w:rPr>
          <w:rFonts w:asciiTheme="minorHAnsi" w:hAnsiTheme="minorHAnsi" w:cstheme="minorHAnsi"/>
          <w:sz w:val="10"/>
          <w:szCs w:val="10"/>
        </w:rPr>
      </w:pPr>
      <w:r w:rsidRPr="00212170">
        <w:rPr>
          <w:rFonts w:asciiTheme="minorHAnsi" w:hAnsiTheme="minorHAnsi" w:cstheme="minorHAnsi"/>
          <w:sz w:val="10"/>
          <w:szCs w:val="10"/>
        </w:rPr>
        <w:tab/>
      </w:r>
      <w:r w:rsidRPr="00212170">
        <w:rPr>
          <w:rFonts w:asciiTheme="minorHAnsi" w:hAnsiTheme="minorHAnsi" w:cstheme="minorHAnsi"/>
          <w:sz w:val="10"/>
          <w:szCs w:val="10"/>
        </w:rPr>
        <w:tab/>
      </w: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10"/>
        <w:gridCol w:w="2127"/>
        <w:gridCol w:w="1533"/>
        <w:gridCol w:w="593"/>
        <w:gridCol w:w="1559"/>
        <w:gridCol w:w="142"/>
        <w:gridCol w:w="2037"/>
      </w:tblGrid>
      <w:tr w:rsidR="00614512" w:rsidRPr="00212170" w14:paraId="3CE3C3B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1FCBAFC"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79E1D41"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Start Date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7D519EE"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September 2023</w:t>
            </w:r>
          </w:p>
        </w:tc>
        <w:tc>
          <w:tcPr>
            <w:tcW w:w="1533" w:type="dxa"/>
            <w:tcBorders>
              <w:top w:val="nil"/>
              <w:left w:val="single" w:sz="4" w:space="0" w:color="A6A6A6"/>
              <w:bottom w:val="nil"/>
              <w:right w:val="nil"/>
            </w:tcBorders>
            <w:shd w:val="clear" w:color="auto" w:fill="auto"/>
          </w:tcPr>
          <w:p w14:paraId="4550BF10" w14:textId="77777777" w:rsidR="00212170" w:rsidRPr="00212170" w:rsidRDefault="00212170" w:rsidP="00D37DD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45BEAF8A" w14:textId="77777777" w:rsidR="00212170" w:rsidRPr="00212170" w:rsidRDefault="00212170" w:rsidP="00D35F13">
            <w:pPr>
              <w:spacing w:after="0" w:line="240" w:lineRule="auto"/>
              <w:ind w:left="-224" w:firstLine="224"/>
              <w:jc w:val="both"/>
              <w:rPr>
                <w:rFonts w:asciiTheme="minorHAnsi" w:hAnsiTheme="minorHAnsi" w:cstheme="minorHAnsi"/>
                <w:b/>
                <w:color w:val="B11636"/>
                <w:sz w:val="20"/>
              </w:rPr>
            </w:pPr>
            <w:r w:rsidRPr="00212170">
              <w:rPr>
                <w:rFonts w:asciiTheme="minorHAnsi" w:hAnsiTheme="minorHAnsi" w:cstheme="minorHAnsi"/>
                <w:b/>
                <w:color w:val="B11636"/>
                <w:sz w:val="20"/>
              </w:rPr>
              <w:t>5b</w:t>
            </w:r>
          </w:p>
        </w:tc>
        <w:tc>
          <w:tcPr>
            <w:tcW w:w="1559" w:type="dxa"/>
            <w:tcBorders>
              <w:top w:val="nil"/>
              <w:left w:val="nil"/>
              <w:bottom w:val="nil"/>
              <w:right w:val="single" w:sz="4" w:space="0" w:color="A6A6A6"/>
            </w:tcBorders>
            <w:shd w:val="clear" w:color="auto" w:fill="auto"/>
          </w:tcPr>
          <w:p w14:paraId="3F611C19" w14:textId="77777777" w:rsidR="00212170" w:rsidRPr="00212170" w:rsidRDefault="00212170" w:rsidP="00D37DD4">
            <w:pPr>
              <w:spacing w:after="0" w:line="240" w:lineRule="auto"/>
              <w:jc w:val="both"/>
              <w:rPr>
                <w:rFonts w:asciiTheme="minorHAnsi" w:hAnsiTheme="minorHAnsi" w:cstheme="minorHAnsi"/>
                <w:b/>
                <w:color w:val="B11636"/>
                <w:sz w:val="20"/>
              </w:rPr>
            </w:pPr>
            <w:r w:rsidRPr="00212170">
              <w:rPr>
                <w:rFonts w:asciiTheme="minorHAnsi" w:hAnsiTheme="minorHAnsi" w:cstheme="minorHAnsi"/>
                <w:b/>
                <w:color w:val="B11636"/>
                <w:sz w:val="20"/>
              </w:rPr>
              <w:t>End Date</w:t>
            </w:r>
          </w:p>
        </w:tc>
        <w:tc>
          <w:tcPr>
            <w:tcW w:w="2171" w:type="dxa"/>
            <w:gridSpan w:val="2"/>
            <w:tcBorders>
              <w:top w:val="single" w:sz="4" w:space="0" w:color="A6A6A6"/>
              <w:left w:val="single" w:sz="4" w:space="0" w:color="A6A6A6"/>
              <w:bottom w:val="single" w:sz="4" w:space="0" w:color="A6A6A6"/>
              <w:right w:val="single" w:sz="4" w:space="0" w:color="A6A6A6"/>
            </w:tcBorders>
            <w:shd w:val="clear" w:color="auto" w:fill="F0F0F0"/>
          </w:tcPr>
          <w:p w14:paraId="0B7FB231"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September 2024</w:t>
            </w:r>
          </w:p>
        </w:tc>
      </w:tr>
      <w:tr w:rsidR="00614512" w:rsidRPr="00212170" w14:paraId="67CD3CE0"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8D8FD82"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07822186"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264CB51F"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56EBED0E"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47A55CA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DE149F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Frequency of Intake</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E05364"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Annually</w:t>
            </w:r>
          </w:p>
        </w:tc>
      </w:tr>
      <w:tr w:rsidR="00614512" w:rsidRPr="00212170" w14:paraId="3BA56B8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3F22819"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7</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6BF92424"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Mode of Study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FEC69D8"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FT</w:t>
            </w:r>
          </w:p>
        </w:tc>
      </w:tr>
      <w:tr w:rsidR="00614512" w:rsidRPr="00212170" w14:paraId="7FA01D4D"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41B98CC"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41C1BA21"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400E4CAB"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0E2EA8B3"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C91035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8a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23AF24F"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Applicable Framework</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A6E8D47"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LSTM LT REG 01</w:t>
            </w:r>
          </w:p>
        </w:tc>
      </w:tr>
      <w:tr w:rsidR="00614512" w:rsidRPr="00212170" w14:paraId="04561C5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F0A8E94"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8b</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30C9C6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Exemption Required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5D9170C" w14:textId="77777777" w:rsidR="00212170" w:rsidRPr="00212170" w:rsidRDefault="00212170" w:rsidP="00D37DD4">
            <w:pPr>
              <w:spacing w:after="0" w:line="240" w:lineRule="auto"/>
              <w:rPr>
                <w:rFonts w:asciiTheme="minorHAnsi" w:hAnsiTheme="minorHAnsi" w:cstheme="minorHAnsi"/>
                <w:sz w:val="20"/>
              </w:rPr>
            </w:pPr>
          </w:p>
        </w:tc>
      </w:tr>
      <w:tr w:rsidR="00614512" w:rsidRPr="00212170" w14:paraId="2C5A39C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6896461"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8c</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0FDCE157"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Exemption Approved</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BD8313"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lang w:eastAsia="en-GB"/>
              </w:rPr>
              <w:fldChar w:fldCharType="begin"/>
            </w:r>
            <w:r w:rsidRPr="00212170">
              <w:rPr>
                <w:rFonts w:asciiTheme="minorHAnsi" w:hAnsiTheme="minorHAnsi" w:cstheme="minorHAnsi"/>
                <w:lang w:eastAsia="en-GB"/>
              </w:rPr>
              <w:instrText xml:space="preserve"> IF   "" = "No" "N/A" "" </w:instrText>
            </w:r>
            <w:r w:rsidR="000F6A45">
              <w:rPr>
                <w:rFonts w:asciiTheme="minorHAnsi" w:hAnsiTheme="minorHAnsi" w:cstheme="minorHAnsi"/>
                <w:lang w:eastAsia="en-GB"/>
              </w:rPr>
              <w:fldChar w:fldCharType="separate"/>
            </w:r>
            <w:r w:rsidRPr="00212170">
              <w:rPr>
                <w:rFonts w:asciiTheme="minorHAnsi" w:hAnsiTheme="minorHAnsi" w:cstheme="minorHAnsi"/>
                <w:lang w:eastAsia="en-GB"/>
              </w:rPr>
              <w:fldChar w:fldCharType="end"/>
            </w:r>
          </w:p>
        </w:tc>
      </w:tr>
      <w:tr w:rsidR="00614512" w:rsidRPr="00212170" w14:paraId="0CA2C339"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C678B3F"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8d</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B559E5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Details of Exemption</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EA86120" w14:textId="77777777" w:rsidR="00212170" w:rsidRPr="00212170" w:rsidRDefault="00212170" w:rsidP="00E87B81">
            <w:pPr>
              <w:spacing w:after="0"/>
              <w:rPr>
                <w:rFonts w:asciiTheme="minorHAnsi" w:hAnsiTheme="minorHAnsi" w:cstheme="minorHAnsi"/>
                <w:sz w:val="20"/>
              </w:rPr>
            </w:pPr>
            <w:r w:rsidRPr="00212170">
              <w:rPr>
                <w:rFonts w:asciiTheme="minorHAnsi" w:hAnsiTheme="minorHAnsi" w:cstheme="minorHAnsi"/>
                <w:lang w:eastAsia="en-GB"/>
              </w:rPr>
              <w:fldChar w:fldCharType="begin"/>
            </w:r>
            <w:r w:rsidRPr="00212170">
              <w:rPr>
                <w:rFonts w:asciiTheme="minorHAnsi" w:hAnsiTheme="minorHAnsi" w:cstheme="minorHAnsi"/>
                <w:lang w:eastAsia="en-GB"/>
              </w:rPr>
              <w:instrText xml:space="preserve"> IF   "" = "No" "N/A" "" </w:instrText>
            </w:r>
            <w:r w:rsidR="000F6A45">
              <w:rPr>
                <w:rFonts w:asciiTheme="minorHAnsi" w:hAnsiTheme="minorHAnsi" w:cstheme="minorHAnsi"/>
                <w:lang w:eastAsia="en-GB"/>
              </w:rPr>
              <w:fldChar w:fldCharType="separate"/>
            </w:r>
            <w:r w:rsidRPr="00212170">
              <w:rPr>
                <w:rFonts w:asciiTheme="minorHAnsi" w:hAnsiTheme="minorHAnsi" w:cstheme="minorHAnsi"/>
                <w:lang w:eastAsia="en-GB"/>
              </w:rPr>
              <w:fldChar w:fldCharType="end"/>
            </w:r>
          </w:p>
        </w:tc>
      </w:tr>
      <w:tr w:rsidR="00614512" w:rsidRPr="00212170" w14:paraId="60CE41FA"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B2816D4" w14:textId="77777777" w:rsidR="00212170" w:rsidRPr="00212170" w:rsidRDefault="00212170" w:rsidP="00D37DD4">
            <w:pPr>
              <w:spacing w:after="0" w:line="240" w:lineRule="auto"/>
              <w:rPr>
                <w:rFonts w:asciiTheme="minorHAnsi" w:hAnsiTheme="minorHAnsi" w:cstheme="minorHAnsi"/>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2C00BAE7" w14:textId="77777777" w:rsidR="00212170" w:rsidRPr="00212170" w:rsidRDefault="00212170" w:rsidP="00D37DD4">
            <w:pPr>
              <w:spacing w:after="0" w:line="240" w:lineRule="auto"/>
              <w:rPr>
                <w:rFonts w:asciiTheme="minorHAnsi" w:hAnsiTheme="minorHAnsi" w:cstheme="minorHAnsi"/>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330EFB5F"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449C4792"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63C6052F"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9</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3EC1D575"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 xml:space="preserve">Programme Director </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D26CD3C"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Nara Tagiyeva-Milne</w:t>
            </w:r>
          </w:p>
        </w:tc>
      </w:tr>
      <w:tr w:rsidR="00614512" w:rsidRPr="00212170" w14:paraId="143DED20"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A727E89"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10</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56D2715"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Board of Studies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7813E3F"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International Public Health Masters Board of Studies</w:t>
            </w:r>
          </w:p>
        </w:tc>
      </w:tr>
      <w:tr w:rsidR="00614512" w:rsidRPr="00212170" w14:paraId="3A256579"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26BEB03B"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11</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7C7B8579"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Board of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BC5C15"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MSc Board of Examiners</w:t>
            </w:r>
          </w:p>
        </w:tc>
      </w:tr>
      <w:tr w:rsidR="00614512" w:rsidRPr="00212170" w14:paraId="7FDB0625"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47B2B69D"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12</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2E146ED7"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External Examiner(s)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0ED04B9"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Dr. Christine Kim Picozzi</w:t>
            </w:r>
          </w:p>
        </w:tc>
      </w:tr>
      <w:tr w:rsidR="00614512" w:rsidRPr="00212170" w14:paraId="367D9ED9"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087AA96"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3FA7FAC2"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2A4BBC25"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5DB70DB4"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0C43C8A5"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13</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F75254E" w14:textId="77777777" w:rsidR="00212170" w:rsidRPr="00212170" w:rsidRDefault="00212170" w:rsidP="0019195D">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 xml:space="preserve">Professional or </w:t>
            </w:r>
            <w:r w:rsidRPr="00212170">
              <w:rPr>
                <w:rFonts w:asciiTheme="minorHAnsi" w:hAnsiTheme="minorHAnsi" w:cstheme="minorHAnsi"/>
                <w:b/>
                <w:color w:val="B11636"/>
                <w:sz w:val="20"/>
              </w:rPr>
              <w:br/>
              <w:t>Other Body</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C24E020"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None</w:t>
            </w:r>
          </w:p>
        </w:tc>
      </w:tr>
      <w:tr w:rsidR="00614512" w:rsidRPr="00212170" w14:paraId="34BB80A5"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295A9C0"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529E1226"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single" w:sz="4" w:space="0" w:color="A6A6A6"/>
              <w:right w:val="nil"/>
            </w:tcBorders>
            <w:shd w:val="clear" w:color="auto" w:fill="auto"/>
            <w:tcMar>
              <w:top w:w="28" w:type="dxa"/>
              <w:left w:w="57" w:type="dxa"/>
              <w:bottom w:w="28" w:type="dxa"/>
              <w:right w:w="57" w:type="dxa"/>
            </w:tcMar>
          </w:tcPr>
          <w:p w14:paraId="152B2F1F"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70E669DF"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842FF41"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14</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5D4714C3"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Reference Points</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AF466DE" w14:textId="77777777" w:rsidR="00212170" w:rsidRPr="00212170" w:rsidRDefault="00212170" w:rsidP="000F6A45">
            <w:pPr>
              <w:spacing w:after="0" w:line="240" w:lineRule="auto"/>
              <w:textAlignment w:val="baseline"/>
              <w:rPr>
                <w:rFonts w:asciiTheme="minorHAnsi" w:hAnsiTheme="minorHAnsi" w:cstheme="minorHAnsi"/>
                <w:sz w:val="20"/>
              </w:rPr>
            </w:pPr>
            <w:r w:rsidRPr="00212170">
              <w:rPr>
                <w:rFonts w:asciiTheme="minorHAnsi" w:hAnsiTheme="minorHAnsi" w:cstheme="minorHAnsi"/>
                <w:sz w:val="20"/>
              </w:rPr>
              <w:t>QAA Master’s Degree Characteristics Statement (2020); The UK Quality Code for Higher Education: Frameworks for Higher Education Qualifications of UK Degree-Awarding Bodies (2014)</w:t>
            </w:r>
          </w:p>
          <w:p w14:paraId="5D1B06F2" w14:textId="77777777" w:rsidR="00614512" w:rsidRPr="00212170" w:rsidRDefault="00212170" w:rsidP="000F6A45">
            <w:pPr>
              <w:spacing w:after="0" w:line="240" w:lineRule="auto"/>
              <w:textAlignment w:val="baseline"/>
              <w:rPr>
                <w:rFonts w:asciiTheme="minorHAnsi" w:hAnsiTheme="minorHAnsi" w:cstheme="minorHAnsi"/>
                <w:sz w:val="20"/>
              </w:rPr>
            </w:pPr>
            <w:r w:rsidRPr="00212170">
              <w:rPr>
                <w:rFonts w:asciiTheme="minorHAnsi" w:hAnsiTheme="minorHAnsi" w:cstheme="minorHAnsi"/>
                <w:sz w:val="20"/>
              </w:rPr>
              <w:t>Priorities of relevant national and international organisations in public health: The Foreign, Commonwealth and Development Office (FCDO), UK; United States Agency for International Development (USAID); World Health Organization (WHO), Association of Schools of Public Health in Africa (ASPHA), The UK Health Security Agency (UKHSA), The UK Faculty of Public Health, The Association of Schools of Public Health in the European Region (ASPHER).</w:t>
            </w:r>
          </w:p>
        </w:tc>
      </w:tr>
      <w:tr w:rsidR="00614512" w:rsidRPr="00212170" w14:paraId="4E0500C0"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527888CC"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7524CC74"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7991" w:type="dxa"/>
            <w:gridSpan w:val="6"/>
            <w:tcBorders>
              <w:top w:val="single" w:sz="4" w:space="0" w:color="A6A6A6"/>
              <w:left w:val="nil"/>
              <w:bottom w:val="nil"/>
              <w:right w:val="nil"/>
            </w:tcBorders>
            <w:shd w:val="clear" w:color="auto" w:fill="auto"/>
            <w:tcMar>
              <w:top w:w="28" w:type="dxa"/>
              <w:left w:w="57" w:type="dxa"/>
              <w:bottom w:w="28" w:type="dxa"/>
              <w:right w:w="57" w:type="dxa"/>
            </w:tcMar>
          </w:tcPr>
          <w:p w14:paraId="1FC46FE2" w14:textId="77777777" w:rsidR="00212170" w:rsidRPr="00212170" w:rsidRDefault="00212170" w:rsidP="00212170">
            <w:pPr>
              <w:spacing w:after="0" w:line="240" w:lineRule="auto"/>
              <w:rPr>
                <w:rFonts w:asciiTheme="minorHAnsi" w:hAnsiTheme="minorHAnsi" w:cstheme="minorHAnsi"/>
                <w:sz w:val="8"/>
                <w:szCs w:val="10"/>
              </w:rPr>
            </w:pPr>
          </w:p>
        </w:tc>
      </w:tr>
      <w:tr w:rsidR="00614512" w:rsidRPr="00212170" w14:paraId="4BE3C95B"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30FAA2D0"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15a</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1A44CFF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Home/EU Fee</w:t>
            </w:r>
          </w:p>
        </w:tc>
        <w:tc>
          <w:tcPr>
            <w:tcW w:w="2127" w:type="dxa"/>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CEB1EBB" w14:textId="77777777" w:rsidR="00212170" w:rsidRPr="00212170" w:rsidRDefault="00212170" w:rsidP="00D37DD4">
            <w:pPr>
              <w:spacing w:after="0" w:line="240" w:lineRule="auto"/>
              <w:rPr>
                <w:rFonts w:asciiTheme="minorHAnsi" w:hAnsiTheme="minorHAnsi" w:cstheme="minorHAnsi"/>
                <w:sz w:val="20"/>
              </w:rPr>
            </w:pPr>
          </w:p>
        </w:tc>
        <w:tc>
          <w:tcPr>
            <w:tcW w:w="1533" w:type="dxa"/>
            <w:tcBorders>
              <w:top w:val="nil"/>
              <w:left w:val="single" w:sz="4" w:space="0" w:color="A6A6A6"/>
              <w:bottom w:val="nil"/>
              <w:right w:val="nil"/>
            </w:tcBorders>
            <w:shd w:val="clear" w:color="auto" w:fill="auto"/>
          </w:tcPr>
          <w:p w14:paraId="4306CA45" w14:textId="77777777" w:rsidR="00212170" w:rsidRPr="00212170" w:rsidRDefault="00212170" w:rsidP="00D37DD4">
            <w:pPr>
              <w:spacing w:after="0" w:line="240" w:lineRule="auto"/>
              <w:rPr>
                <w:rFonts w:asciiTheme="minorHAnsi" w:hAnsiTheme="minorHAnsi" w:cstheme="minorHAnsi"/>
                <w:sz w:val="20"/>
              </w:rPr>
            </w:pPr>
          </w:p>
        </w:tc>
        <w:tc>
          <w:tcPr>
            <w:tcW w:w="593" w:type="dxa"/>
            <w:tcBorders>
              <w:top w:val="nil"/>
              <w:left w:val="nil"/>
              <w:bottom w:val="nil"/>
              <w:right w:val="nil"/>
            </w:tcBorders>
            <w:shd w:val="clear" w:color="auto" w:fill="auto"/>
          </w:tcPr>
          <w:p w14:paraId="768A86D7"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15b</w:t>
            </w:r>
          </w:p>
        </w:tc>
        <w:tc>
          <w:tcPr>
            <w:tcW w:w="1701" w:type="dxa"/>
            <w:gridSpan w:val="2"/>
            <w:tcBorders>
              <w:top w:val="nil"/>
              <w:left w:val="nil"/>
              <w:bottom w:val="nil"/>
              <w:right w:val="single" w:sz="4" w:space="0" w:color="A6A6A6"/>
            </w:tcBorders>
            <w:shd w:val="clear" w:color="auto" w:fill="auto"/>
          </w:tcPr>
          <w:p w14:paraId="3B63D4C6"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Overseas Fee</w:t>
            </w:r>
          </w:p>
        </w:tc>
        <w:tc>
          <w:tcPr>
            <w:tcW w:w="2037" w:type="dxa"/>
            <w:tcBorders>
              <w:top w:val="single" w:sz="4" w:space="0" w:color="A6A6A6"/>
              <w:left w:val="single" w:sz="4" w:space="0" w:color="A6A6A6"/>
              <w:bottom w:val="single" w:sz="4" w:space="0" w:color="A6A6A6"/>
              <w:right w:val="single" w:sz="4" w:space="0" w:color="A6A6A6"/>
            </w:tcBorders>
            <w:shd w:val="clear" w:color="auto" w:fill="F0F0F0"/>
          </w:tcPr>
          <w:p w14:paraId="7FE694B4" w14:textId="77777777" w:rsidR="00212170" w:rsidRPr="00212170" w:rsidRDefault="00212170" w:rsidP="00D37DD4">
            <w:pPr>
              <w:spacing w:after="0" w:line="240" w:lineRule="auto"/>
              <w:rPr>
                <w:rFonts w:asciiTheme="minorHAnsi" w:hAnsiTheme="minorHAnsi" w:cstheme="minorHAnsi"/>
                <w:sz w:val="20"/>
              </w:rPr>
            </w:pPr>
          </w:p>
        </w:tc>
      </w:tr>
      <w:tr w:rsidR="00614512" w:rsidRPr="00212170" w14:paraId="0634147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7CB08D95"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2410" w:type="dxa"/>
            <w:tcBorders>
              <w:top w:val="nil"/>
              <w:left w:val="nil"/>
              <w:bottom w:val="nil"/>
              <w:right w:val="nil"/>
            </w:tcBorders>
            <w:shd w:val="clear" w:color="auto" w:fill="auto"/>
            <w:tcMar>
              <w:top w:w="28" w:type="dxa"/>
              <w:left w:w="57" w:type="dxa"/>
              <w:bottom w:w="28" w:type="dxa"/>
              <w:right w:w="57" w:type="dxa"/>
            </w:tcMar>
          </w:tcPr>
          <w:p w14:paraId="1C34920E"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7991" w:type="dxa"/>
            <w:gridSpan w:val="6"/>
            <w:tcBorders>
              <w:top w:val="nil"/>
              <w:left w:val="nil"/>
              <w:bottom w:val="single" w:sz="4" w:space="0" w:color="A6A6A6"/>
              <w:right w:val="nil"/>
            </w:tcBorders>
            <w:shd w:val="clear" w:color="auto" w:fill="auto"/>
            <w:tcMar>
              <w:top w:w="28" w:type="dxa"/>
              <w:left w:w="57" w:type="dxa"/>
              <w:bottom w:w="28" w:type="dxa"/>
              <w:right w:w="57" w:type="dxa"/>
            </w:tcMar>
          </w:tcPr>
          <w:p w14:paraId="27D3DF8E"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18620ED8" w14:textId="77777777" w:rsidTr="00D35F13">
        <w:tc>
          <w:tcPr>
            <w:tcW w:w="482" w:type="dxa"/>
            <w:tcBorders>
              <w:top w:val="nil"/>
              <w:left w:val="nil"/>
              <w:bottom w:val="nil"/>
              <w:right w:val="nil"/>
            </w:tcBorders>
            <w:shd w:val="clear" w:color="auto" w:fill="auto"/>
            <w:tcMar>
              <w:top w:w="28" w:type="dxa"/>
              <w:left w:w="57" w:type="dxa"/>
              <w:bottom w:w="28" w:type="dxa"/>
              <w:right w:w="57" w:type="dxa"/>
            </w:tcMar>
          </w:tcPr>
          <w:p w14:paraId="1701F6D2"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16</w:t>
            </w:r>
          </w:p>
        </w:tc>
        <w:tc>
          <w:tcPr>
            <w:tcW w:w="2410" w:type="dxa"/>
            <w:tcBorders>
              <w:top w:val="nil"/>
              <w:left w:val="nil"/>
              <w:bottom w:val="nil"/>
              <w:right w:val="single" w:sz="4" w:space="0" w:color="A6A6A6"/>
            </w:tcBorders>
            <w:shd w:val="clear" w:color="auto" w:fill="auto"/>
            <w:tcMar>
              <w:top w:w="28" w:type="dxa"/>
              <w:left w:w="57" w:type="dxa"/>
              <w:bottom w:w="28" w:type="dxa"/>
              <w:right w:w="57" w:type="dxa"/>
            </w:tcMar>
          </w:tcPr>
          <w:p w14:paraId="416684BF"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Additional Costs to the Student</w:t>
            </w:r>
          </w:p>
        </w:tc>
        <w:tc>
          <w:tcPr>
            <w:tcW w:w="7991" w:type="dxa"/>
            <w:gridSpan w:val="6"/>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EDAA6A" w14:textId="77777777" w:rsidR="000F6A45" w:rsidRPr="000F6A45" w:rsidRDefault="000F6A45" w:rsidP="000F6A45">
            <w:pPr>
              <w:spacing w:after="0" w:line="240" w:lineRule="auto"/>
              <w:textAlignment w:val="baseline"/>
              <w:rPr>
                <w:rFonts w:asciiTheme="minorHAnsi" w:hAnsiTheme="minorHAnsi" w:cstheme="minorHAnsi"/>
                <w:sz w:val="20"/>
              </w:rPr>
            </w:pPr>
            <w:r w:rsidRPr="000F6A45">
              <w:rPr>
                <w:rFonts w:asciiTheme="minorHAnsi" w:hAnsiTheme="minorHAnsi" w:cstheme="minorHAnsi"/>
                <w:sz w:val="20"/>
              </w:rPr>
              <w:t xml:space="preserve">The programme fee covers the cost of a desk-based project based in LSTM. Depending on your previous experience you may be permitted to undertake a lab-based project which will incur an additional fee, called a bench fee which will be approximately £1,500. You may also need to cover the costs of antibody testing and/or vaccinations needed for laboratory projects. Students are not required to pay this additional fee at registration but must have the necessary funds available when they start the programme. LSTM can also help students to arrange a field-based project overseas (typically 4 weeks) and students are encouraged to take this opportunity if your funds allow. Overseas projects will incur costs such as flights accommodation, hiring translators, travel in-country, visas, vaccinations, possibly fees for ethics applications so costs, depending on </w:t>
            </w:r>
            <w:r w:rsidRPr="000F6A45">
              <w:rPr>
                <w:rFonts w:asciiTheme="minorHAnsi" w:hAnsiTheme="minorHAnsi" w:cstheme="minorHAnsi"/>
                <w:sz w:val="20"/>
              </w:rPr>
              <w:lastRenderedPageBreak/>
              <w:t>duration, nature of fieldwork and complexity of project can range from approximately £3,000-£5,000). The School will provide comprehensive insurance for off-site work and cover the cost of this.</w:t>
            </w:r>
          </w:p>
          <w:p w14:paraId="23DAB518" w14:textId="0DC98151" w:rsidR="00614512" w:rsidRPr="000F6A45" w:rsidRDefault="000F6A45" w:rsidP="000F6A45">
            <w:pPr>
              <w:spacing w:after="0" w:line="240" w:lineRule="auto"/>
              <w:textAlignment w:val="baseline"/>
              <w:rPr>
                <w:rFonts w:asciiTheme="minorHAnsi" w:hAnsiTheme="minorHAnsi" w:cstheme="minorHAnsi"/>
                <w:sz w:val="20"/>
              </w:rPr>
            </w:pPr>
            <w:r w:rsidRPr="000F6A45">
              <w:rPr>
                <w:rFonts w:asciiTheme="minorHAnsi" w:hAnsiTheme="minorHAnsi" w:cstheme="minorHAnsi"/>
                <w:sz w:val="20"/>
              </w:rPr>
              <w:t>While LSTM provides access to the main scientific software packages you will need for your dissertation, occasionally some students use specialist software for their dissertations beyond what LSTM provide and there could be a subscription fee, although often there is a period these can be used for free as a trial. There may additionally be course-relevant and social trips, which are optional for students to attend, and which may have costs attached.</w:t>
            </w:r>
          </w:p>
        </w:tc>
      </w:tr>
    </w:tbl>
    <w:p w14:paraId="04E045FF" w14:textId="77777777" w:rsidR="00212170" w:rsidRPr="00212170" w:rsidRDefault="00212170" w:rsidP="005504D1">
      <w:pPr>
        <w:rPr>
          <w:rFonts w:asciiTheme="minorHAnsi" w:hAnsiTheme="minorHAnsi" w:cstheme="minorHAnsi"/>
          <w:sz w:val="20"/>
        </w:rPr>
        <w:sectPr w:rsidR="00212170" w:rsidRPr="00212170" w:rsidSect="004F191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590"/>
        <w:gridCol w:w="12102"/>
        <w:gridCol w:w="2277"/>
      </w:tblGrid>
      <w:tr w:rsidR="00614512" w:rsidRPr="00212170" w14:paraId="6B2B7209" w14:textId="77777777" w:rsidTr="00254735">
        <w:trPr>
          <w:trHeight w:val="408"/>
        </w:trPr>
        <w:tc>
          <w:tcPr>
            <w:tcW w:w="5000" w:type="pct"/>
            <w:gridSpan w:val="4"/>
            <w:tcBorders>
              <w:top w:val="nil"/>
              <w:left w:val="nil"/>
              <w:bottom w:val="nil"/>
              <w:right w:val="nil"/>
            </w:tcBorders>
            <w:shd w:val="clear" w:color="auto" w:fill="auto"/>
            <w:tcMar>
              <w:top w:w="28" w:type="dxa"/>
              <w:left w:w="57" w:type="dxa"/>
              <w:bottom w:w="28" w:type="dxa"/>
              <w:right w:w="57" w:type="dxa"/>
            </w:tcMar>
          </w:tcPr>
          <w:p w14:paraId="2AE9ECBA" w14:textId="77777777" w:rsidR="00212170" w:rsidRPr="00212170" w:rsidRDefault="00212170" w:rsidP="00212170">
            <w:pPr>
              <w:pStyle w:val="Heading2"/>
              <w:rPr>
                <w:rFonts w:asciiTheme="minorHAnsi" w:hAnsiTheme="minorHAnsi" w:cstheme="minorHAnsi"/>
                <w:b w:val="0"/>
                <w:color w:val="333333"/>
                <w:szCs w:val="24"/>
              </w:rPr>
            </w:pPr>
            <w:r w:rsidRPr="00212170">
              <w:rPr>
                <w:rFonts w:asciiTheme="minorHAnsi" w:hAnsiTheme="minorHAnsi" w:cstheme="minorHAnsi"/>
                <w:i w:val="0"/>
                <w:iCs w:val="0"/>
                <w:sz w:val="22"/>
                <w:szCs w:val="22"/>
              </w:rPr>
              <w:lastRenderedPageBreak/>
              <w:t>Part B: Programme Aims and Outcomes</w:t>
            </w:r>
          </w:p>
        </w:tc>
      </w:tr>
      <w:tr w:rsidR="00614512" w:rsidRPr="00212170" w14:paraId="7EE45578" w14:textId="77777777" w:rsidTr="00567208">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7CC2B4A2"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17</w:t>
            </w:r>
          </w:p>
        </w:tc>
        <w:tc>
          <w:tcPr>
            <w:tcW w:w="4765"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5498A44F"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Overview of the Programme</w:t>
            </w:r>
          </w:p>
        </w:tc>
      </w:tr>
      <w:tr w:rsidR="00614512" w:rsidRPr="00212170" w14:paraId="054B3020" w14:textId="77777777" w:rsidTr="00254735">
        <w:tc>
          <w:tcPr>
            <w:tcW w:w="5000" w:type="pct"/>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8AFD694" w14:textId="77777777" w:rsidR="00212170" w:rsidRPr="00212170" w:rsidRDefault="00212170" w:rsidP="00254735">
            <w:pPr>
              <w:spacing w:before="120" w:after="120" w:line="240" w:lineRule="auto"/>
              <w:rPr>
                <w:rFonts w:asciiTheme="minorHAnsi" w:hAnsiTheme="minorHAnsi" w:cstheme="minorHAnsi"/>
                <w:sz w:val="20"/>
              </w:rPr>
            </w:pPr>
            <w:r w:rsidRPr="00212170">
              <w:rPr>
                <w:rFonts w:asciiTheme="minorHAnsi" w:hAnsiTheme="minorHAnsi" w:cstheme="minorHAnsi"/>
                <w:sz w:val="20"/>
              </w:rPr>
              <w:t xml:space="preserve">This programme prepares students for leadership and equips them to assume an active role in and responsibilities for improving population health in a range of settings. It covers a wide breadth of contemporary issues in international public health and explores approaches to reducing health inequities by enhancing policy and practice based upon sound, evidence-based principles.  The programme gives graduates key transferable knowledge and skills in epidemiology, research methods and social science.  The Humanitarian Health stream has a specialist focus on humanitarian assistance, examining current policies and practice in the field and exploring public health approaches to responding to the challenges of contemporary humanitarian problems. The Humanitarian Health stream will allow students interested in Public Health to further specialise and develop skills essential for humanitarian health leaders. The stream focuses on the particular challenges, constraints &amp; requirements of working in the humanitarian sector, and allows students to explore themes relevant to this field such as working in conflict or unsafe situations, working with refugees and displaced population and understanding the increasing interaction between humanitarian crises and climate change. </w:t>
            </w:r>
          </w:p>
          <w:p w14:paraId="2CC7BA84" w14:textId="77777777" w:rsidR="00614512" w:rsidRPr="00212170" w:rsidRDefault="00212170" w:rsidP="00254735">
            <w:pPr>
              <w:spacing w:before="120" w:after="120" w:line="240" w:lineRule="auto"/>
              <w:rPr>
                <w:rFonts w:asciiTheme="minorHAnsi" w:hAnsiTheme="minorHAnsi" w:cstheme="minorHAnsi"/>
                <w:sz w:val="20"/>
              </w:rPr>
            </w:pPr>
            <w:r w:rsidRPr="00212170">
              <w:rPr>
                <w:rFonts w:asciiTheme="minorHAnsi" w:hAnsiTheme="minorHAnsi" w:cstheme="minorHAnsi"/>
                <w:sz w:val="20"/>
              </w:rPr>
              <w:t>Following the taught component, students on this stream complete a research dissertation project on a topic relevant to humanitarian health either overseas or locally, and could be desk based or field work.  The programme is underpinned by LSTM’s mission to reduce the burden of sickness and mortality in disease endemic countries through the delivery of effective interventions which improve human health and are relevant to the poorest communities. The programme has been developed around a series of Public Health competencies derived from the international reference points (see Reference Points above) and mapped to these competencies (see Appendix 1).</w:t>
            </w:r>
          </w:p>
        </w:tc>
      </w:tr>
      <w:tr w:rsidR="00614512" w:rsidRPr="00212170" w14:paraId="43D17CA1" w14:textId="77777777" w:rsidTr="00567208">
        <w:tc>
          <w:tcPr>
            <w:tcW w:w="42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3081EAC2" w14:textId="77777777" w:rsidR="00212170" w:rsidRPr="00212170" w:rsidRDefault="00212170" w:rsidP="00D37DD4">
            <w:pPr>
              <w:spacing w:after="0" w:line="240" w:lineRule="auto"/>
              <w:rPr>
                <w:rFonts w:asciiTheme="minorHAnsi" w:hAnsiTheme="minorHAnsi" w:cstheme="minorHAnsi"/>
                <w:sz w:val="8"/>
                <w:szCs w:val="10"/>
              </w:rPr>
            </w:pPr>
          </w:p>
        </w:tc>
        <w:tc>
          <w:tcPr>
            <w:tcW w:w="4577"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317D19F"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6B30B7CC" w14:textId="77777777" w:rsidTr="00567208">
        <w:tc>
          <w:tcPr>
            <w:tcW w:w="234" w:type="pct"/>
            <w:tcBorders>
              <w:top w:val="nil"/>
              <w:left w:val="nil"/>
              <w:bottom w:val="nil"/>
              <w:right w:val="nil"/>
            </w:tcBorders>
            <w:shd w:val="clear" w:color="auto" w:fill="auto"/>
            <w:tcMar>
              <w:top w:w="28" w:type="dxa"/>
              <w:left w:w="57" w:type="dxa"/>
              <w:bottom w:w="28" w:type="dxa"/>
              <w:right w:w="57" w:type="dxa"/>
            </w:tcMar>
          </w:tcPr>
          <w:p w14:paraId="56A70B59"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18</w:t>
            </w:r>
          </w:p>
        </w:tc>
        <w:tc>
          <w:tcPr>
            <w:tcW w:w="4766" w:type="pct"/>
            <w:gridSpan w:val="3"/>
            <w:tcBorders>
              <w:top w:val="nil"/>
              <w:left w:val="nil"/>
              <w:bottom w:val="nil"/>
              <w:right w:val="nil"/>
            </w:tcBorders>
            <w:shd w:val="clear" w:color="auto" w:fill="auto"/>
            <w:tcMar>
              <w:top w:w="28" w:type="dxa"/>
              <w:left w:w="57" w:type="dxa"/>
              <w:bottom w:w="28" w:type="dxa"/>
              <w:right w:w="57" w:type="dxa"/>
            </w:tcMar>
          </w:tcPr>
          <w:p w14:paraId="616B4486"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Aims of the Programme</w:t>
            </w:r>
          </w:p>
        </w:tc>
      </w:tr>
      <w:tr w:rsidR="00614512" w:rsidRPr="00212170" w14:paraId="768840DA" w14:textId="77777777" w:rsidTr="00254735">
        <w:tc>
          <w:tcPr>
            <w:tcW w:w="234" w:type="pct"/>
            <w:tcBorders>
              <w:top w:val="nil"/>
              <w:left w:val="nil"/>
              <w:bottom w:val="single" w:sz="4" w:space="0" w:color="A6A6A6"/>
              <w:right w:val="nil"/>
            </w:tcBorders>
            <w:shd w:val="clear" w:color="auto" w:fill="auto"/>
            <w:tcMar>
              <w:top w:w="28" w:type="dxa"/>
              <w:left w:w="57" w:type="dxa"/>
              <w:bottom w:w="28" w:type="dxa"/>
              <w:right w:w="57" w:type="dxa"/>
            </w:tcMar>
          </w:tcPr>
          <w:p w14:paraId="4707F542"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No.</w:t>
            </w:r>
          </w:p>
        </w:tc>
        <w:tc>
          <w:tcPr>
            <w:tcW w:w="4041"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1758D167"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Specific Aim</w:t>
            </w:r>
          </w:p>
        </w:tc>
        <w:tc>
          <w:tcPr>
            <w:tcW w:w="725" w:type="pct"/>
            <w:tcBorders>
              <w:top w:val="nil"/>
              <w:left w:val="nil"/>
              <w:bottom w:val="single" w:sz="4" w:space="0" w:color="A6A6A6"/>
              <w:right w:val="nil"/>
            </w:tcBorders>
            <w:shd w:val="clear" w:color="auto" w:fill="auto"/>
          </w:tcPr>
          <w:p w14:paraId="45660986"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Entry Award</w:t>
            </w:r>
          </w:p>
        </w:tc>
      </w:tr>
      <w:tr w:rsidR="00614512" w:rsidRPr="00212170" w14:paraId="7936A0F5"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42CEFF7"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1</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AFED1D7"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equip students with public health (Level 7) knowledge, skills and analytical tools to recognise, evaluate and analyse public health challenges at relevant local, national and global levels.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0CC4E94B" w14:textId="77777777" w:rsidR="00212170" w:rsidRPr="00212170" w:rsidRDefault="00212170" w:rsidP="00541156">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5A002B15"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C9D87B"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2</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D82BBBA"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underpin students’ abilities to contribute to developing high quality, effective interventions that address health inequities, strengthen health systems and improve health in resource poor settings.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5B68AEA1" w14:textId="77777777" w:rsidR="00212170" w:rsidRPr="00212170" w:rsidRDefault="00212170" w:rsidP="00541156">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7272AB72"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381A13D"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3</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138E7B"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provide students with knowledge and skills that will help to protect populations against contemporary and emerging threats or hazards and enable them to influence the wider social, environmental and structural determinants of health.</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1C4DDF0D" w14:textId="77777777" w:rsidR="00212170" w:rsidRPr="00212170" w:rsidRDefault="00212170" w:rsidP="00541156">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00BD3369"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4281752"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4</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1375A4"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enhance students’ epidemiological, and other qualitative and quantitative research skills, so they can critically appraise evidence, plan and implement evidence-based interventions, undertake research, and monitor and evaluate public health activities.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6294C7AD" w14:textId="77777777" w:rsidR="00212170" w:rsidRPr="00212170" w:rsidRDefault="00212170" w:rsidP="00541156">
            <w:pPr>
              <w:spacing w:after="0" w:line="240" w:lineRule="auto"/>
              <w:rPr>
                <w:rFonts w:asciiTheme="minorHAnsi" w:hAnsiTheme="minorHAnsi" w:cstheme="minorHAnsi"/>
                <w:sz w:val="20"/>
              </w:rPr>
            </w:pPr>
            <w:r w:rsidRPr="00212170">
              <w:rPr>
                <w:rFonts w:asciiTheme="minorHAnsi" w:hAnsiTheme="minorHAnsi" w:cstheme="minorHAnsi"/>
                <w:sz w:val="20"/>
              </w:rPr>
              <w:t>MPH only</w:t>
            </w:r>
          </w:p>
        </w:tc>
      </w:tr>
      <w:tr w:rsidR="00614512" w:rsidRPr="00212170" w14:paraId="7BDEBE9D"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569EFE0"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5</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C244F12"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enable students to develop as resilient, effective public health leaders with excellent communication skills and high professional standards who have the ability and motivation to continue learning and work effectively and efficiently within global health systems.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17FA6419" w14:textId="77777777" w:rsidR="00212170" w:rsidRPr="00212170" w:rsidRDefault="00212170" w:rsidP="00541156">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25DEC555" w14:textId="77777777" w:rsidTr="00254735">
        <w:tc>
          <w:tcPr>
            <w:tcW w:w="234" w:type="pct"/>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B437B55"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6</w:t>
            </w:r>
          </w:p>
        </w:tc>
        <w:tc>
          <w:tcPr>
            <w:tcW w:w="4041"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6DF2DBD"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facilitate students’ exploration of approaches to responding to humanitarian challenges and provide students with the skills, knowledge and understanding of humanitarian issues needed to practice at a senior level in organisations involved in the prevention of and response to humanitarian crises.</w:t>
            </w:r>
          </w:p>
        </w:tc>
        <w:tc>
          <w:tcPr>
            <w:tcW w:w="725" w:type="pct"/>
            <w:tcBorders>
              <w:top w:val="single" w:sz="4" w:space="0" w:color="A6A6A6"/>
              <w:left w:val="single" w:sz="4" w:space="0" w:color="A6A6A6"/>
              <w:bottom w:val="single" w:sz="4" w:space="0" w:color="A6A6A6"/>
              <w:right w:val="single" w:sz="4" w:space="0" w:color="A6A6A6"/>
            </w:tcBorders>
            <w:shd w:val="clear" w:color="auto" w:fill="F0F0F0"/>
          </w:tcPr>
          <w:p w14:paraId="4AEA9EE6" w14:textId="77777777" w:rsidR="00212170" w:rsidRPr="00212170" w:rsidRDefault="00212170" w:rsidP="00541156">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5C7EFE5C" w14:textId="77777777" w:rsidTr="00254735">
        <w:tc>
          <w:tcPr>
            <w:tcW w:w="5000" w:type="pct"/>
            <w:gridSpan w:val="4"/>
            <w:tcBorders>
              <w:top w:val="single" w:sz="4" w:space="0" w:color="A6A6A6"/>
              <w:left w:val="nil"/>
              <w:bottom w:val="nil"/>
              <w:right w:val="nil"/>
            </w:tcBorders>
            <w:shd w:val="clear" w:color="auto" w:fill="auto"/>
          </w:tcPr>
          <w:p w14:paraId="6E45174E" w14:textId="77777777" w:rsidR="00212170" w:rsidRPr="00212170" w:rsidRDefault="00212170" w:rsidP="00D37DD4">
            <w:pPr>
              <w:spacing w:after="0" w:line="240" w:lineRule="auto"/>
              <w:rPr>
                <w:rFonts w:asciiTheme="minorHAnsi" w:hAnsiTheme="minorHAnsi" w:cstheme="minorHAnsi"/>
                <w:sz w:val="4"/>
                <w:szCs w:val="4"/>
              </w:rPr>
            </w:pPr>
          </w:p>
          <w:p w14:paraId="6B9C0BD6" w14:textId="77777777" w:rsidR="00212170" w:rsidRPr="00212170" w:rsidRDefault="00212170" w:rsidP="00D37DD4">
            <w:pPr>
              <w:spacing w:after="0" w:line="240" w:lineRule="auto"/>
              <w:rPr>
                <w:rFonts w:asciiTheme="minorHAnsi" w:hAnsiTheme="minorHAnsi" w:cstheme="minorHAnsi"/>
                <w:sz w:val="4"/>
                <w:szCs w:val="4"/>
              </w:rPr>
            </w:pPr>
          </w:p>
        </w:tc>
      </w:tr>
    </w:tbl>
    <w:p w14:paraId="0EF105BD" w14:textId="77777777" w:rsidR="00212170" w:rsidRPr="00212170" w:rsidRDefault="00212170" w:rsidP="00212170">
      <w:pPr>
        <w:pageBreakBefore/>
        <w:tabs>
          <w:tab w:val="left" w:pos="766"/>
        </w:tabs>
        <w:spacing w:before="60" w:after="60" w:line="240" w:lineRule="auto"/>
        <w:rPr>
          <w:rFonts w:asciiTheme="minorHAnsi" w:hAnsiTheme="minorHAnsi" w:cstheme="minorHAnsi"/>
          <w:b/>
          <w:color w:val="B11636"/>
          <w:sz w:val="20"/>
        </w:rPr>
      </w:pPr>
      <w:r w:rsidRPr="00212170">
        <w:rPr>
          <w:rFonts w:asciiTheme="minorHAnsi" w:hAnsiTheme="minorHAnsi" w:cstheme="minorHAnsi"/>
          <w:b/>
          <w:color w:val="B11636"/>
          <w:sz w:val="20"/>
        </w:rPr>
        <w:lastRenderedPageBreak/>
        <w:t>19</w:t>
      </w:r>
      <w:r w:rsidRPr="00212170">
        <w:rPr>
          <w:rFonts w:asciiTheme="minorHAnsi" w:hAnsiTheme="minorHAnsi" w:cstheme="minorHAnsi"/>
          <w:b/>
          <w:color w:val="B11636"/>
          <w:sz w:val="20"/>
        </w:rPr>
        <w:tab/>
        <w:t>Skills and Other Attributes</w:t>
      </w: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17"/>
        <w:gridCol w:w="91"/>
        <w:gridCol w:w="6784"/>
        <w:gridCol w:w="374"/>
        <w:gridCol w:w="1592"/>
        <w:gridCol w:w="4491"/>
        <w:gridCol w:w="1705"/>
      </w:tblGrid>
      <w:tr w:rsidR="00614512" w:rsidRPr="00212170" w14:paraId="24066C7B" w14:textId="77777777" w:rsidTr="00212170">
        <w:tc>
          <w:tcPr>
            <w:tcW w:w="241" w:type="pct"/>
            <w:gridSpan w:val="3"/>
            <w:tcBorders>
              <w:top w:val="nil"/>
              <w:left w:val="nil"/>
              <w:bottom w:val="single" w:sz="4" w:space="0" w:color="A6A6A6"/>
              <w:right w:val="nil"/>
            </w:tcBorders>
            <w:shd w:val="clear" w:color="auto" w:fill="auto"/>
            <w:tcMar>
              <w:top w:w="28" w:type="dxa"/>
              <w:left w:w="57" w:type="dxa"/>
              <w:bottom w:w="28" w:type="dxa"/>
              <w:right w:w="57" w:type="dxa"/>
            </w:tcMar>
          </w:tcPr>
          <w:p w14:paraId="4F75CFD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No.</w:t>
            </w:r>
          </w:p>
        </w:tc>
        <w:tc>
          <w:tcPr>
            <w:tcW w:w="227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75B457E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Skill/Attribute</w:t>
            </w:r>
          </w:p>
        </w:tc>
        <w:tc>
          <w:tcPr>
            <w:tcW w:w="506" w:type="pct"/>
            <w:tcBorders>
              <w:top w:val="nil"/>
              <w:left w:val="nil"/>
              <w:bottom w:val="single" w:sz="4" w:space="0" w:color="A6A6A6"/>
              <w:right w:val="nil"/>
            </w:tcBorders>
            <w:shd w:val="clear" w:color="auto" w:fill="auto"/>
          </w:tcPr>
          <w:p w14:paraId="229E2EF6"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Module(s)</w:t>
            </w:r>
          </w:p>
        </w:tc>
        <w:tc>
          <w:tcPr>
            <w:tcW w:w="1974" w:type="pct"/>
            <w:gridSpan w:val="2"/>
            <w:tcBorders>
              <w:top w:val="nil"/>
              <w:left w:val="nil"/>
              <w:bottom w:val="single" w:sz="4" w:space="0" w:color="A6A6A6"/>
              <w:right w:val="nil"/>
            </w:tcBorders>
            <w:shd w:val="clear" w:color="auto" w:fill="auto"/>
          </w:tcPr>
          <w:p w14:paraId="297C639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Mode of Assessing</w:t>
            </w:r>
          </w:p>
        </w:tc>
      </w:tr>
      <w:tr w:rsidR="00614512" w:rsidRPr="00212170" w14:paraId="3FDDAECD" w14:textId="77777777" w:rsidTr="00212170">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7C7A7C" w14:textId="77777777" w:rsidR="00212170" w:rsidRPr="00212170" w:rsidRDefault="00212170" w:rsidP="00FC2D18">
            <w:pPr>
              <w:spacing w:after="0" w:line="240" w:lineRule="auto"/>
              <w:rPr>
                <w:rFonts w:asciiTheme="minorHAnsi" w:hAnsiTheme="minorHAnsi" w:cstheme="minorHAnsi"/>
                <w:sz w:val="20"/>
              </w:rPr>
            </w:pPr>
            <w:r w:rsidRPr="00212170">
              <w:rPr>
                <w:rFonts w:asciiTheme="minorHAnsi" w:hAnsiTheme="minorHAnsi" w:cstheme="minorHAnsi"/>
                <w:sz w:val="20"/>
              </w:rPr>
              <w:t>1</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73ABAF"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identify issues, evaluate, critically appraise and interpret evidence and undertake basic research</w:t>
            </w:r>
          </w:p>
        </w:tc>
        <w:tc>
          <w:tcPr>
            <w:tcW w:w="506" w:type="pct"/>
            <w:tcBorders>
              <w:top w:val="single" w:sz="4" w:space="0" w:color="A6A6A6"/>
              <w:left w:val="single" w:sz="4" w:space="0" w:color="A6A6A6"/>
              <w:bottom w:val="single" w:sz="4" w:space="0" w:color="A6A6A6"/>
              <w:right w:val="single" w:sz="4" w:space="0" w:color="A6A6A6"/>
            </w:tcBorders>
            <w:shd w:val="clear" w:color="auto" w:fill="F0F0F0"/>
          </w:tcPr>
          <w:p w14:paraId="778E1ABC"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702, 700, 732, 703, 727, 726</w:t>
            </w:r>
          </w:p>
        </w:tc>
        <w:tc>
          <w:tcPr>
            <w:tcW w:w="19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21A4870C"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MCQ exam, critical reflection, scientific report, research proposal, research report; critical analysis, epidemiological report, essay, group presentation, individual reflection</w:t>
            </w:r>
          </w:p>
        </w:tc>
      </w:tr>
      <w:tr w:rsidR="00614512" w:rsidRPr="00212170" w14:paraId="229C1837" w14:textId="77777777" w:rsidTr="00212170">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687C757" w14:textId="77777777" w:rsidR="00212170" w:rsidRPr="00212170" w:rsidRDefault="00212170" w:rsidP="00FC2D18">
            <w:pPr>
              <w:spacing w:after="0" w:line="240" w:lineRule="auto"/>
              <w:rPr>
                <w:rFonts w:asciiTheme="minorHAnsi" w:hAnsiTheme="minorHAnsi" w:cstheme="minorHAnsi"/>
                <w:sz w:val="20"/>
              </w:rPr>
            </w:pPr>
            <w:r w:rsidRPr="00212170">
              <w:rPr>
                <w:rFonts w:asciiTheme="minorHAnsi" w:hAnsiTheme="minorHAnsi" w:cstheme="minorHAnsi"/>
                <w:sz w:val="20"/>
              </w:rPr>
              <w:t>2</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1F7186B"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communicate concepts, arguments, evidence and public health strategies effectively to a variety of audiences using a range of media and technologies</w:t>
            </w:r>
          </w:p>
        </w:tc>
        <w:tc>
          <w:tcPr>
            <w:tcW w:w="506" w:type="pct"/>
            <w:tcBorders>
              <w:top w:val="single" w:sz="4" w:space="0" w:color="A6A6A6"/>
              <w:left w:val="single" w:sz="4" w:space="0" w:color="A6A6A6"/>
              <w:bottom w:val="single" w:sz="4" w:space="0" w:color="A6A6A6"/>
              <w:right w:val="single" w:sz="4" w:space="0" w:color="A6A6A6"/>
            </w:tcBorders>
            <w:shd w:val="clear" w:color="auto" w:fill="F0F0F0"/>
          </w:tcPr>
          <w:p w14:paraId="4F70831B"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700, 732, 718, 713</w:t>
            </w:r>
          </w:p>
        </w:tc>
        <w:tc>
          <w:tcPr>
            <w:tcW w:w="19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2A629287"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research report, critical review, group presentation; written report</w:t>
            </w:r>
          </w:p>
        </w:tc>
      </w:tr>
      <w:tr w:rsidR="00614512" w:rsidRPr="00212170" w14:paraId="42A1418F" w14:textId="77777777" w:rsidTr="00212170">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959C148" w14:textId="77777777" w:rsidR="00212170" w:rsidRPr="00212170" w:rsidRDefault="00212170" w:rsidP="00FC2D18">
            <w:pPr>
              <w:spacing w:after="0" w:line="240" w:lineRule="auto"/>
              <w:rPr>
                <w:rFonts w:asciiTheme="minorHAnsi" w:hAnsiTheme="minorHAnsi" w:cstheme="minorHAnsi"/>
                <w:sz w:val="20"/>
              </w:rPr>
            </w:pPr>
            <w:r w:rsidRPr="00212170">
              <w:rPr>
                <w:rFonts w:asciiTheme="minorHAnsi" w:hAnsiTheme="minorHAnsi" w:cstheme="minorHAnsi"/>
                <w:sz w:val="20"/>
              </w:rPr>
              <w:t>3</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358D60C"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solve problems and make decisions through the creative application of knowledge to protect population health in complex and unpredictable situations</w:t>
            </w:r>
          </w:p>
        </w:tc>
        <w:tc>
          <w:tcPr>
            <w:tcW w:w="506" w:type="pct"/>
            <w:tcBorders>
              <w:top w:val="single" w:sz="4" w:space="0" w:color="A6A6A6"/>
              <w:left w:val="single" w:sz="4" w:space="0" w:color="A6A6A6"/>
              <w:bottom w:val="single" w:sz="4" w:space="0" w:color="A6A6A6"/>
              <w:right w:val="single" w:sz="4" w:space="0" w:color="A6A6A6"/>
            </w:tcBorders>
            <w:shd w:val="clear" w:color="auto" w:fill="F0F0F0"/>
          </w:tcPr>
          <w:p w14:paraId="621883F7"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702, 732, 718, 726, 727</w:t>
            </w:r>
          </w:p>
        </w:tc>
        <w:tc>
          <w:tcPr>
            <w:tcW w:w="19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618B935D"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MCQ exam, critical reflection, research report, critical review, group presentation epidemiological report, essay, group presentation, individual reflection</w:t>
            </w:r>
          </w:p>
        </w:tc>
      </w:tr>
      <w:tr w:rsidR="00614512" w:rsidRPr="00212170" w14:paraId="035289FD" w14:textId="77777777" w:rsidTr="00212170">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F5CDE92" w14:textId="77777777" w:rsidR="00212170" w:rsidRPr="00212170" w:rsidRDefault="00212170" w:rsidP="00FC2D18">
            <w:pPr>
              <w:spacing w:after="0" w:line="240" w:lineRule="auto"/>
              <w:rPr>
                <w:rFonts w:asciiTheme="minorHAnsi" w:hAnsiTheme="minorHAnsi" w:cstheme="minorHAnsi"/>
                <w:sz w:val="20"/>
              </w:rPr>
            </w:pPr>
            <w:r w:rsidRPr="00212170">
              <w:rPr>
                <w:rFonts w:asciiTheme="minorHAnsi" w:hAnsiTheme="minorHAnsi" w:cstheme="minorHAnsi"/>
                <w:sz w:val="20"/>
              </w:rPr>
              <w:t>4</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8D355C9"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negotiate effectively and work in partnership with a wide range of stakeholders to improve population health, health services and systems</w:t>
            </w:r>
          </w:p>
        </w:tc>
        <w:tc>
          <w:tcPr>
            <w:tcW w:w="506" w:type="pct"/>
            <w:tcBorders>
              <w:top w:val="single" w:sz="4" w:space="0" w:color="A6A6A6"/>
              <w:left w:val="single" w:sz="4" w:space="0" w:color="A6A6A6"/>
              <w:bottom w:val="single" w:sz="4" w:space="0" w:color="A6A6A6"/>
              <w:right w:val="single" w:sz="4" w:space="0" w:color="A6A6A6"/>
            </w:tcBorders>
            <w:shd w:val="clear" w:color="auto" w:fill="F0F0F0"/>
          </w:tcPr>
          <w:p w14:paraId="0E8EFC8E"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700, 713, 726, 718, 729</w:t>
            </w:r>
          </w:p>
        </w:tc>
        <w:tc>
          <w:tcPr>
            <w:tcW w:w="19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1E7B82B8"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group presentation, individual report,  essay, individual reflection, critical review, policy brief, poster presentation</w:t>
            </w:r>
          </w:p>
        </w:tc>
      </w:tr>
      <w:tr w:rsidR="00614512" w:rsidRPr="00212170" w14:paraId="4AADAC48" w14:textId="77777777" w:rsidTr="00212170">
        <w:tc>
          <w:tcPr>
            <w:tcW w:w="241" w:type="pct"/>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846AC8" w14:textId="77777777" w:rsidR="00212170" w:rsidRPr="00212170" w:rsidRDefault="00212170" w:rsidP="00FC2D18">
            <w:pPr>
              <w:spacing w:after="0" w:line="240" w:lineRule="auto"/>
              <w:rPr>
                <w:rFonts w:asciiTheme="minorHAnsi" w:hAnsiTheme="minorHAnsi" w:cstheme="minorHAnsi"/>
                <w:sz w:val="20"/>
              </w:rPr>
            </w:pPr>
            <w:r w:rsidRPr="00212170">
              <w:rPr>
                <w:rFonts w:asciiTheme="minorHAnsi" w:hAnsiTheme="minorHAnsi" w:cstheme="minorHAnsi"/>
                <w:sz w:val="20"/>
              </w:rPr>
              <w:t>5</w:t>
            </w:r>
          </w:p>
        </w:tc>
        <w:tc>
          <w:tcPr>
            <w:tcW w:w="227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3013328" w14:textId="77777777" w:rsidR="00212170" w:rsidRPr="00212170" w:rsidRDefault="00212170" w:rsidP="0019195D">
            <w:pPr>
              <w:spacing w:after="0" w:line="240" w:lineRule="auto"/>
              <w:rPr>
                <w:rFonts w:asciiTheme="minorHAnsi" w:hAnsiTheme="minorHAnsi" w:cstheme="minorHAnsi"/>
                <w:sz w:val="20"/>
              </w:rPr>
            </w:pPr>
            <w:r w:rsidRPr="00212170">
              <w:rPr>
                <w:rFonts w:asciiTheme="minorHAnsi" w:hAnsiTheme="minorHAnsi" w:cstheme="minorHAnsi"/>
                <w:sz w:val="20"/>
              </w:rPr>
              <w:t>To apply numerical and IT skills with confidence and accuracy</w:t>
            </w:r>
          </w:p>
        </w:tc>
        <w:tc>
          <w:tcPr>
            <w:tcW w:w="506" w:type="pct"/>
            <w:tcBorders>
              <w:top w:val="single" w:sz="4" w:space="0" w:color="A6A6A6"/>
              <w:left w:val="single" w:sz="4" w:space="0" w:color="A6A6A6"/>
              <w:bottom w:val="single" w:sz="4" w:space="0" w:color="A6A6A6"/>
              <w:right w:val="single" w:sz="4" w:space="0" w:color="A6A6A6"/>
            </w:tcBorders>
            <w:shd w:val="clear" w:color="auto" w:fill="F0F0F0"/>
          </w:tcPr>
          <w:p w14:paraId="20144E5D"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702, 727</w:t>
            </w:r>
          </w:p>
        </w:tc>
        <w:tc>
          <w:tcPr>
            <w:tcW w:w="1974" w:type="pct"/>
            <w:gridSpan w:val="2"/>
            <w:tcBorders>
              <w:top w:val="single" w:sz="4" w:space="0" w:color="A6A6A6"/>
              <w:left w:val="single" w:sz="4" w:space="0" w:color="A6A6A6"/>
              <w:bottom w:val="single" w:sz="4" w:space="0" w:color="A6A6A6"/>
              <w:right w:val="single" w:sz="4" w:space="0" w:color="A6A6A6"/>
            </w:tcBorders>
            <w:shd w:val="clear" w:color="auto" w:fill="F0F0F0"/>
          </w:tcPr>
          <w:p w14:paraId="460F0E8A"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MCQ exam, critical reflection, epidemiological report</w:t>
            </w:r>
          </w:p>
        </w:tc>
      </w:tr>
      <w:tr w:rsidR="00614512" w:rsidRPr="00212170" w14:paraId="59FA2323" w14:textId="77777777" w:rsidTr="00212170">
        <w:tc>
          <w:tcPr>
            <w:tcW w:w="5000" w:type="pct"/>
            <w:gridSpan w:val="8"/>
            <w:tcBorders>
              <w:top w:val="single" w:sz="4" w:space="0" w:color="A6A6A6"/>
              <w:left w:val="nil"/>
              <w:bottom w:val="nil"/>
              <w:right w:val="nil"/>
            </w:tcBorders>
            <w:shd w:val="clear" w:color="auto" w:fill="auto"/>
          </w:tcPr>
          <w:p w14:paraId="1CA3FBA8" w14:textId="69C5BAC9" w:rsidR="00212170" w:rsidRPr="00212170" w:rsidRDefault="00212170" w:rsidP="003624E3">
            <w:pPr>
              <w:tabs>
                <w:tab w:val="left" w:pos="1512"/>
              </w:tabs>
              <w:rPr>
                <w:rFonts w:asciiTheme="minorHAnsi" w:hAnsiTheme="minorHAnsi" w:cstheme="minorHAnsi"/>
                <w:sz w:val="8"/>
                <w:szCs w:val="10"/>
              </w:rPr>
            </w:pPr>
          </w:p>
        </w:tc>
      </w:tr>
      <w:tr w:rsidR="00614512" w:rsidRPr="00212170" w14:paraId="346D2E57" w14:textId="77777777" w:rsidTr="00212170">
        <w:tc>
          <w:tcPr>
            <w:tcW w:w="212" w:type="pct"/>
            <w:gridSpan w:val="2"/>
            <w:tcBorders>
              <w:top w:val="nil"/>
              <w:left w:val="nil"/>
              <w:bottom w:val="nil"/>
              <w:right w:val="nil"/>
            </w:tcBorders>
            <w:shd w:val="clear" w:color="auto" w:fill="auto"/>
            <w:tcMar>
              <w:top w:w="28" w:type="dxa"/>
              <w:left w:w="57" w:type="dxa"/>
              <w:bottom w:w="28" w:type="dxa"/>
              <w:right w:w="57" w:type="dxa"/>
            </w:tcMar>
          </w:tcPr>
          <w:p w14:paraId="6C22DE03" w14:textId="77777777" w:rsidR="00212170" w:rsidRPr="00212170" w:rsidRDefault="00212170" w:rsidP="00212170">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20</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10AC134D" w14:textId="77777777" w:rsidR="00212170" w:rsidRPr="00212170" w:rsidRDefault="00212170" w:rsidP="0043189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 xml:space="preserve">Subject Based Learning Outcomes </w:t>
            </w:r>
          </w:p>
        </w:tc>
      </w:tr>
      <w:tr w:rsidR="00614512" w:rsidRPr="00212170" w14:paraId="42EB249D" w14:textId="77777777" w:rsidTr="00212170">
        <w:tc>
          <w:tcPr>
            <w:tcW w:w="212" w:type="pct"/>
            <w:gridSpan w:val="2"/>
            <w:tcBorders>
              <w:top w:val="nil"/>
              <w:left w:val="nil"/>
              <w:bottom w:val="nil"/>
              <w:right w:val="nil"/>
            </w:tcBorders>
            <w:shd w:val="clear" w:color="auto" w:fill="auto"/>
            <w:tcMar>
              <w:top w:w="28" w:type="dxa"/>
              <w:left w:w="57" w:type="dxa"/>
              <w:bottom w:w="28" w:type="dxa"/>
              <w:right w:w="57" w:type="dxa"/>
            </w:tcMar>
          </w:tcPr>
          <w:p w14:paraId="5B979060" w14:textId="77777777" w:rsidR="00212170" w:rsidRPr="00212170" w:rsidRDefault="00212170" w:rsidP="00D37DD4">
            <w:pPr>
              <w:spacing w:after="0" w:line="240" w:lineRule="auto"/>
              <w:rPr>
                <w:rFonts w:asciiTheme="minorHAnsi" w:hAnsiTheme="minorHAnsi" w:cstheme="minorHAnsi"/>
                <w:b/>
                <w:sz w:val="20"/>
              </w:rPr>
            </w:pPr>
            <w:r w:rsidRPr="00212170">
              <w:rPr>
                <w:rFonts w:asciiTheme="minorHAnsi" w:hAnsiTheme="minorHAnsi" w:cstheme="minorHAnsi"/>
                <w:b/>
                <w:sz w:val="20"/>
              </w:rPr>
              <w:t>A</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608AABBC"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b/>
                <w:sz w:val="20"/>
              </w:rPr>
              <w:t>Knowledge and Understanding.</w:t>
            </w:r>
            <w:r w:rsidRPr="00212170">
              <w:rPr>
                <w:rFonts w:asciiTheme="minorHAnsi" w:hAnsiTheme="minorHAnsi" w:cstheme="minorHAnsi"/>
                <w:sz w:val="20"/>
              </w:rPr>
              <w:t xml:space="preserve"> Upon successful completion of the programme, a student should have developed and be able to demonstrate:</w:t>
            </w:r>
          </w:p>
        </w:tc>
      </w:tr>
      <w:tr w:rsidR="00614512" w:rsidRPr="00212170" w14:paraId="1493EE97" w14:textId="77777777" w:rsidTr="00212170">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1E8624B" w14:textId="77777777" w:rsidR="00212170" w:rsidRPr="00212170" w:rsidRDefault="00212170" w:rsidP="00D37DD4">
            <w:pPr>
              <w:spacing w:after="0" w:line="240" w:lineRule="auto"/>
              <w:jc w:val="both"/>
              <w:rPr>
                <w:rFonts w:asciiTheme="minorHAnsi" w:hAnsiTheme="minorHAnsi" w:cstheme="minorHAnsi"/>
                <w:b/>
                <w:color w:val="B11636"/>
                <w:sz w:val="20"/>
              </w:rPr>
            </w:pPr>
            <w:r w:rsidRPr="00212170">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5B0FA71E" w14:textId="77777777" w:rsidR="00212170" w:rsidRPr="00212170" w:rsidRDefault="00212170" w:rsidP="00D37DD4">
            <w:pPr>
              <w:tabs>
                <w:tab w:val="center" w:pos="2069"/>
              </w:tabs>
              <w:spacing w:after="0" w:line="240" w:lineRule="auto"/>
              <w:jc w:val="both"/>
              <w:rPr>
                <w:rFonts w:asciiTheme="minorHAnsi" w:hAnsiTheme="minorHAnsi" w:cstheme="minorHAnsi"/>
                <w:b/>
                <w:color w:val="B11636"/>
                <w:sz w:val="20"/>
              </w:rPr>
            </w:pPr>
            <w:r w:rsidRPr="00212170">
              <w:rPr>
                <w:rFonts w:asciiTheme="minorHAnsi" w:hAnsiTheme="minorHAnsi" w:cstheme="minorHAnsi"/>
                <w:b/>
                <w:color w:val="B11636"/>
                <w:sz w:val="20"/>
              </w:rPr>
              <w:t>Learning Outcome</w:t>
            </w:r>
          </w:p>
        </w:tc>
        <w:tc>
          <w:tcPr>
            <w:tcW w:w="625" w:type="pct"/>
            <w:gridSpan w:val="2"/>
            <w:tcBorders>
              <w:top w:val="nil"/>
              <w:left w:val="nil"/>
              <w:bottom w:val="single" w:sz="4" w:space="0" w:color="A6A6A6"/>
              <w:right w:val="nil"/>
            </w:tcBorders>
            <w:shd w:val="clear" w:color="auto" w:fill="auto"/>
          </w:tcPr>
          <w:p w14:paraId="028B1BDE" w14:textId="77777777" w:rsidR="00212170" w:rsidRPr="00212170" w:rsidRDefault="00212170" w:rsidP="00D37DD4">
            <w:pPr>
              <w:spacing w:after="0" w:line="240" w:lineRule="auto"/>
              <w:jc w:val="both"/>
              <w:rPr>
                <w:rFonts w:asciiTheme="minorHAnsi" w:hAnsiTheme="minorHAnsi" w:cstheme="minorHAnsi"/>
                <w:b/>
                <w:color w:val="B11636"/>
                <w:sz w:val="20"/>
              </w:rPr>
            </w:pPr>
            <w:r w:rsidRPr="00212170">
              <w:rPr>
                <w:rFonts w:asciiTheme="minorHAnsi" w:hAnsiTheme="minorHAnsi" w:cstheme="minorHAnsi"/>
                <w:b/>
                <w:color w:val="B11636"/>
                <w:sz w:val="20"/>
              </w:rPr>
              <w:t>Module(s)</w:t>
            </w:r>
          </w:p>
        </w:tc>
        <w:tc>
          <w:tcPr>
            <w:tcW w:w="1430" w:type="pct"/>
            <w:tcBorders>
              <w:top w:val="nil"/>
              <w:left w:val="nil"/>
              <w:bottom w:val="single" w:sz="4" w:space="0" w:color="A6A6A6"/>
              <w:right w:val="nil"/>
            </w:tcBorders>
            <w:shd w:val="clear" w:color="auto" w:fill="auto"/>
          </w:tcPr>
          <w:p w14:paraId="2DB8D1B1" w14:textId="77777777" w:rsidR="00212170" w:rsidRPr="00212170" w:rsidRDefault="00212170" w:rsidP="00DA5F9A">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Mode of Assessing</w:t>
            </w:r>
          </w:p>
        </w:tc>
        <w:tc>
          <w:tcPr>
            <w:tcW w:w="544" w:type="pct"/>
            <w:tcBorders>
              <w:top w:val="nil"/>
              <w:left w:val="nil"/>
              <w:bottom w:val="single" w:sz="4" w:space="0" w:color="A6A6A6"/>
              <w:right w:val="nil"/>
            </w:tcBorders>
            <w:shd w:val="clear" w:color="auto" w:fill="auto"/>
          </w:tcPr>
          <w:p w14:paraId="26513611" w14:textId="77777777" w:rsidR="00212170" w:rsidRPr="00212170" w:rsidRDefault="00212170" w:rsidP="00D37DD4">
            <w:pPr>
              <w:spacing w:after="0" w:line="240" w:lineRule="auto"/>
              <w:jc w:val="both"/>
              <w:rPr>
                <w:rFonts w:asciiTheme="minorHAnsi" w:hAnsiTheme="minorHAnsi" w:cstheme="minorHAnsi"/>
                <w:b/>
                <w:color w:val="B11636"/>
                <w:sz w:val="20"/>
              </w:rPr>
            </w:pPr>
            <w:r w:rsidRPr="00212170">
              <w:rPr>
                <w:rFonts w:asciiTheme="minorHAnsi" w:hAnsiTheme="minorHAnsi" w:cstheme="minorHAnsi"/>
                <w:b/>
                <w:color w:val="B11636"/>
                <w:sz w:val="20"/>
              </w:rPr>
              <w:t>Entry Award</w:t>
            </w:r>
          </w:p>
        </w:tc>
      </w:tr>
      <w:tr w:rsidR="00614512" w:rsidRPr="00212170" w14:paraId="36700076"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A34C41E"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color w:val="222222"/>
                <w:sz w:val="20"/>
                <w:szCs w:val="20"/>
              </w:rPr>
              <w:t>A1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545B49"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Critical knowledge and understanding of major global health threats, with a focus on the determinants of health in resource poor settings</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303ED5B0"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703, 713, 718, 729, 726</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7598966E"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Critical analysis, group presentation, individual report, critical review, policy brief, poster presentation, essay, individual reflection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79CFDD76"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0F9632A5"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CE8DCE"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color w:val="222222"/>
                <w:sz w:val="20"/>
                <w:szCs w:val="20"/>
              </w:rPr>
              <w:t>A2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C22D0A1"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Mastery of the fundamental principles of epidemiology, public health and related research methods</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0EAAA48F"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702, 732, 703, 713, 727</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4377B3ED"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MCQ exam, critical reflection, research report, critical analysis; group presentation, individual report, epidemiological report</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623E6ADB"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1897B5CD"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021AAAD"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color w:val="222222"/>
                <w:sz w:val="20"/>
                <w:szCs w:val="20"/>
              </w:rPr>
              <w:t>A3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69D744E"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Critical knowledge of the history, politics, policies and strategies that influence health</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1183BCCA"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703, 718, 729, 726</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05EE4CF4"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Critical analysis, critical review, group presentation, policy brief, poster presentation, essay, individual reflection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220AEFA1"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0EAAA4F4"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F2649CD"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color w:val="222222"/>
                <w:sz w:val="20"/>
                <w:szCs w:val="20"/>
              </w:rPr>
              <w:t>A4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AE9E629"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An understanding of how health systems and services respond to health issues, including financing.</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0A2F7E93"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713</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5B179269"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Group presentation, individual report</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3258AB26"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5EB3B6C5"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386D771"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color w:val="222222"/>
                <w:sz w:val="20"/>
                <w:szCs w:val="20"/>
              </w:rPr>
              <w:t>A5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03E9BC"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Critical knowledge and understanding of human rights, legal frameworks, and professional values</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5C2AA969"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700, 718, 729</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6BB2125C"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critical review, group presentation, policy brief, poster presentation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29773EDF"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41BBCE24"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F778187"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color w:val="222222"/>
                <w:sz w:val="20"/>
                <w:szCs w:val="20"/>
              </w:rPr>
              <w:t>A6</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6B0E958"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Critical knowledge and understanding of the impact of humanitarian emergencies on health and wellbeing</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1BF48B85"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718</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0F9929C9"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Critical review, group presentation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01E4CDE7"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0A903A03" w14:textId="77777777" w:rsidTr="00212170">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5CE00FE6" w14:textId="77777777" w:rsidR="00212170" w:rsidRPr="00212170" w:rsidRDefault="00212170" w:rsidP="00D37DD4">
            <w:pPr>
              <w:spacing w:after="0" w:line="240" w:lineRule="auto"/>
              <w:jc w:val="right"/>
              <w:rPr>
                <w:rFonts w:asciiTheme="minorHAnsi" w:hAnsiTheme="minorHAnsi" w:cstheme="minorHAnsi"/>
                <w:b/>
                <w:sz w:val="8"/>
                <w:szCs w:val="10"/>
              </w:rPr>
            </w:pPr>
          </w:p>
        </w:tc>
        <w:tc>
          <w:tcPr>
            <w:tcW w:w="4788"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1ACECCB7" w14:textId="77777777" w:rsidR="00212170" w:rsidRPr="00212170" w:rsidRDefault="00212170" w:rsidP="00D37DD4">
            <w:pPr>
              <w:spacing w:after="0" w:line="240" w:lineRule="auto"/>
              <w:rPr>
                <w:rFonts w:asciiTheme="minorHAnsi" w:hAnsiTheme="minorHAnsi" w:cstheme="minorHAnsi"/>
                <w:b/>
                <w:sz w:val="8"/>
                <w:szCs w:val="10"/>
              </w:rPr>
            </w:pPr>
          </w:p>
        </w:tc>
      </w:tr>
      <w:tr w:rsidR="00614512" w:rsidRPr="00212170" w14:paraId="4B04AA1D" w14:textId="77777777" w:rsidTr="00212170">
        <w:tc>
          <w:tcPr>
            <w:tcW w:w="212" w:type="pct"/>
            <w:gridSpan w:val="2"/>
            <w:tcBorders>
              <w:top w:val="nil"/>
              <w:left w:val="nil"/>
              <w:bottom w:val="nil"/>
              <w:right w:val="nil"/>
            </w:tcBorders>
            <w:shd w:val="clear" w:color="auto" w:fill="auto"/>
            <w:tcMar>
              <w:top w:w="28" w:type="dxa"/>
              <w:left w:w="57" w:type="dxa"/>
              <w:bottom w:w="28" w:type="dxa"/>
              <w:right w:w="57" w:type="dxa"/>
            </w:tcMar>
          </w:tcPr>
          <w:p w14:paraId="5A0E3B09" w14:textId="77777777" w:rsidR="00212170" w:rsidRPr="00212170" w:rsidRDefault="00212170" w:rsidP="00212170">
            <w:pPr>
              <w:pageBreakBefore/>
              <w:spacing w:after="0" w:line="240" w:lineRule="auto"/>
              <w:rPr>
                <w:rFonts w:asciiTheme="minorHAnsi" w:hAnsiTheme="minorHAnsi" w:cstheme="minorHAnsi"/>
                <w:b/>
                <w:sz w:val="20"/>
              </w:rPr>
            </w:pPr>
            <w:r w:rsidRPr="00212170">
              <w:rPr>
                <w:rFonts w:asciiTheme="minorHAnsi" w:hAnsiTheme="minorHAnsi" w:cstheme="minorHAnsi"/>
                <w:b/>
                <w:sz w:val="20"/>
              </w:rPr>
              <w:lastRenderedPageBreak/>
              <w:t>B</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6EFBC014" w14:textId="77777777" w:rsidR="00212170" w:rsidRPr="00212170" w:rsidRDefault="00212170" w:rsidP="00D37DD4">
            <w:pPr>
              <w:tabs>
                <w:tab w:val="left" w:pos="12897"/>
              </w:tabs>
              <w:spacing w:after="0" w:line="240" w:lineRule="auto"/>
              <w:rPr>
                <w:rFonts w:asciiTheme="minorHAnsi" w:hAnsiTheme="minorHAnsi" w:cstheme="minorHAnsi"/>
                <w:sz w:val="20"/>
              </w:rPr>
            </w:pPr>
            <w:r w:rsidRPr="00212170">
              <w:rPr>
                <w:rFonts w:asciiTheme="minorHAnsi" w:hAnsiTheme="minorHAnsi" w:cstheme="minorHAnsi"/>
                <w:b/>
                <w:sz w:val="20"/>
              </w:rPr>
              <w:t>Cognitive Skills.</w:t>
            </w:r>
            <w:r w:rsidRPr="00212170">
              <w:rPr>
                <w:rFonts w:asciiTheme="minorHAnsi" w:hAnsiTheme="minorHAnsi" w:cstheme="minorHAnsi"/>
                <w:sz w:val="20"/>
              </w:rPr>
              <w:t xml:space="preserve"> Upon successful completion of the programme, a student should be able to:</w:t>
            </w:r>
          </w:p>
        </w:tc>
      </w:tr>
      <w:tr w:rsidR="00614512" w:rsidRPr="00212170" w14:paraId="7EE5D4C1" w14:textId="77777777" w:rsidTr="00212170">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0CFEF547"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C1456FF" w14:textId="77777777" w:rsidR="00212170" w:rsidRPr="00212170" w:rsidRDefault="00212170" w:rsidP="00D37DD4">
            <w:pPr>
              <w:tabs>
                <w:tab w:val="center" w:pos="2069"/>
              </w:tabs>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Learning Outcome</w:t>
            </w:r>
          </w:p>
        </w:tc>
        <w:tc>
          <w:tcPr>
            <w:tcW w:w="625" w:type="pct"/>
            <w:gridSpan w:val="2"/>
            <w:tcBorders>
              <w:top w:val="nil"/>
              <w:left w:val="nil"/>
              <w:bottom w:val="single" w:sz="4" w:space="0" w:color="A6A6A6"/>
              <w:right w:val="nil"/>
            </w:tcBorders>
            <w:shd w:val="clear" w:color="auto" w:fill="auto"/>
          </w:tcPr>
          <w:p w14:paraId="235A42F0"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Module(s)</w:t>
            </w:r>
          </w:p>
        </w:tc>
        <w:tc>
          <w:tcPr>
            <w:tcW w:w="1430" w:type="pct"/>
            <w:tcBorders>
              <w:top w:val="nil"/>
              <w:left w:val="nil"/>
              <w:bottom w:val="single" w:sz="4" w:space="0" w:color="A6A6A6"/>
              <w:right w:val="nil"/>
            </w:tcBorders>
            <w:shd w:val="clear" w:color="auto" w:fill="auto"/>
          </w:tcPr>
          <w:p w14:paraId="58C6C3E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Mode of Assessing</w:t>
            </w:r>
          </w:p>
        </w:tc>
        <w:tc>
          <w:tcPr>
            <w:tcW w:w="544" w:type="pct"/>
            <w:tcBorders>
              <w:top w:val="nil"/>
              <w:left w:val="nil"/>
              <w:bottom w:val="single" w:sz="4" w:space="0" w:color="A6A6A6"/>
              <w:right w:val="nil"/>
            </w:tcBorders>
            <w:shd w:val="clear" w:color="auto" w:fill="auto"/>
          </w:tcPr>
          <w:p w14:paraId="5C568980"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Entry Award</w:t>
            </w:r>
          </w:p>
        </w:tc>
      </w:tr>
      <w:tr w:rsidR="00614512" w:rsidRPr="00212170" w14:paraId="05646ABB"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21FE779"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B1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CFFF46F"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Critically analyse, synthesise and evaluate information from a variety of sources to assess population health risks and wellbeing status</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72511A3E"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702, 732, 703, 713, 727, 726, 729, 700</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2C68A726"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 xml:space="preserve">MCQ exam, reflection, research report, critical analysis, group presentation, individual report, epidemiological report, essay, </w:t>
            </w:r>
          </w:p>
          <w:p w14:paraId="45E12290" w14:textId="77777777" w:rsidR="00614512"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 xml:space="preserve"> policy brief, poster presentation, critical review, scientific report, research proposal</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68F7CC45"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51788278"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5F3E7A"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B2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ECD783"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Use a holistic, problem-solving approach to analyse health issues and offer creative solutions to improve health</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3114ACE9"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700, 702, 718, 726, 729, 732</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013A24EA"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MCQ exam, critical reflection, critical review, group presentation, Essay, individual reflection, policy brief, poster presentation, research report</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2EA6D650"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17EEB928"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321EE9"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B3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8D87C40"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Apply critical thinking skills to the development and delivery of public policy for health and wellbeing</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24239884"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700, 703, 718, 726</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049EBDC6"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critical analysis, critical review, group presentation, essay, individual reflection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58E302C9"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12904CB5"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C41E8BB"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B4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8A266C"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Critically appraise literature and other evidence to inform the development, monitoring and evaluation of interventions to improve health and health services</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19F0EAEF"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700, 732, 713, 726, 729</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4A71834D"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critical analysis, critical review, group presentation, essay, group presentation, individual reflection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7FC70ED0"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06688DD9"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4DB7B11"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B5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30D27AC"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Learn independently through continuous professional development</w:t>
            </w:r>
          </w:p>
        </w:tc>
        <w:tc>
          <w:tcPr>
            <w:tcW w:w="625" w:type="pct"/>
            <w:gridSpan w:val="2"/>
            <w:tcBorders>
              <w:top w:val="single" w:sz="4" w:space="0" w:color="A6A6A6"/>
              <w:left w:val="single" w:sz="4" w:space="0" w:color="A6A6A6"/>
              <w:bottom w:val="single" w:sz="4" w:space="0" w:color="A6A6A6"/>
              <w:right w:val="single" w:sz="4" w:space="0" w:color="A6A6A6"/>
            </w:tcBorders>
            <w:shd w:val="clear" w:color="auto" w:fill="F0F0F0"/>
          </w:tcPr>
          <w:p w14:paraId="1AB7CBED"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700, 713</w:t>
            </w:r>
          </w:p>
        </w:tc>
        <w:tc>
          <w:tcPr>
            <w:tcW w:w="1430" w:type="pct"/>
            <w:tcBorders>
              <w:top w:val="single" w:sz="4" w:space="0" w:color="A6A6A6"/>
              <w:left w:val="single" w:sz="4" w:space="0" w:color="A6A6A6"/>
              <w:bottom w:val="single" w:sz="4" w:space="0" w:color="A6A6A6"/>
              <w:right w:val="single" w:sz="4" w:space="0" w:color="A6A6A6"/>
            </w:tcBorders>
            <w:shd w:val="clear" w:color="auto" w:fill="F0F0F0"/>
          </w:tcPr>
          <w:p w14:paraId="1816FFCB"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group presentation, individual report</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455FC72B" w14:textId="77777777" w:rsidR="00212170" w:rsidRPr="00212170" w:rsidRDefault="00212170" w:rsidP="00C4304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0FC59F58" w14:textId="77777777" w:rsidTr="00212170">
        <w:tc>
          <w:tcPr>
            <w:tcW w:w="212" w:type="pct"/>
            <w:gridSpan w:val="2"/>
            <w:tcBorders>
              <w:top w:val="nil"/>
              <w:left w:val="nil"/>
              <w:bottom w:val="nil"/>
              <w:right w:val="nil"/>
            </w:tcBorders>
            <w:shd w:val="clear" w:color="auto" w:fill="auto"/>
            <w:tcMar>
              <w:top w:w="28" w:type="dxa"/>
              <w:left w:w="57" w:type="dxa"/>
              <w:bottom w:w="28" w:type="dxa"/>
              <w:right w:w="57" w:type="dxa"/>
            </w:tcMar>
          </w:tcPr>
          <w:p w14:paraId="1B703C19" w14:textId="36B6045C" w:rsidR="00212170" w:rsidRPr="00212170" w:rsidRDefault="00212170" w:rsidP="00212170">
            <w:pPr>
              <w:spacing w:before="120" w:after="0" w:line="240" w:lineRule="auto"/>
              <w:rPr>
                <w:rFonts w:asciiTheme="minorHAnsi" w:hAnsiTheme="minorHAnsi" w:cstheme="minorHAnsi"/>
                <w:b/>
                <w:sz w:val="20"/>
              </w:rPr>
            </w:pPr>
            <w:r w:rsidRPr="00212170">
              <w:rPr>
                <w:rFonts w:asciiTheme="minorHAnsi" w:hAnsiTheme="minorHAnsi" w:cstheme="minorHAnsi"/>
                <w:b/>
                <w:sz w:val="20"/>
              </w:rPr>
              <w:t>C</w:t>
            </w:r>
          </w:p>
        </w:tc>
        <w:tc>
          <w:tcPr>
            <w:tcW w:w="4788" w:type="pct"/>
            <w:gridSpan w:val="6"/>
            <w:tcBorders>
              <w:top w:val="nil"/>
              <w:left w:val="nil"/>
              <w:bottom w:val="nil"/>
              <w:right w:val="nil"/>
            </w:tcBorders>
            <w:shd w:val="clear" w:color="auto" w:fill="auto"/>
            <w:tcMar>
              <w:top w:w="28" w:type="dxa"/>
              <w:left w:w="57" w:type="dxa"/>
              <w:bottom w:w="28" w:type="dxa"/>
              <w:right w:w="57" w:type="dxa"/>
            </w:tcMar>
          </w:tcPr>
          <w:p w14:paraId="3BBE54BD" w14:textId="77777777" w:rsidR="00212170" w:rsidRPr="00212170" w:rsidRDefault="00212170" w:rsidP="00212170">
            <w:pPr>
              <w:tabs>
                <w:tab w:val="left" w:pos="12434"/>
              </w:tabs>
              <w:spacing w:before="120" w:after="0" w:line="240" w:lineRule="auto"/>
              <w:rPr>
                <w:rFonts w:asciiTheme="minorHAnsi" w:hAnsiTheme="minorHAnsi" w:cstheme="minorHAnsi"/>
                <w:sz w:val="20"/>
              </w:rPr>
            </w:pPr>
            <w:r w:rsidRPr="00212170">
              <w:rPr>
                <w:rFonts w:asciiTheme="minorHAnsi" w:hAnsiTheme="minorHAnsi" w:cstheme="minorHAnsi"/>
                <w:b/>
                <w:sz w:val="20"/>
              </w:rPr>
              <w:t xml:space="preserve">Practical/Professional Skills. </w:t>
            </w:r>
            <w:r w:rsidRPr="00212170">
              <w:rPr>
                <w:rFonts w:asciiTheme="minorHAnsi" w:hAnsiTheme="minorHAnsi" w:cstheme="minorHAnsi"/>
                <w:sz w:val="20"/>
              </w:rPr>
              <w:t>Upon successful completion of the programme, a student should be able to:</w:t>
            </w:r>
          </w:p>
        </w:tc>
      </w:tr>
      <w:tr w:rsidR="00614512" w:rsidRPr="00212170" w14:paraId="6E796173" w14:textId="77777777" w:rsidTr="00212170">
        <w:tc>
          <w:tcPr>
            <w:tcW w:w="212"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2B7EADCA"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No.</w:t>
            </w:r>
          </w:p>
        </w:tc>
        <w:tc>
          <w:tcPr>
            <w:tcW w:w="2189" w:type="pct"/>
            <w:gridSpan w:val="2"/>
            <w:tcBorders>
              <w:top w:val="nil"/>
              <w:left w:val="nil"/>
              <w:bottom w:val="single" w:sz="4" w:space="0" w:color="A6A6A6"/>
              <w:right w:val="nil"/>
            </w:tcBorders>
            <w:shd w:val="clear" w:color="auto" w:fill="auto"/>
            <w:tcMar>
              <w:top w:w="28" w:type="dxa"/>
              <w:left w:w="57" w:type="dxa"/>
              <w:bottom w:w="28" w:type="dxa"/>
              <w:right w:w="57" w:type="dxa"/>
            </w:tcMar>
          </w:tcPr>
          <w:p w14:paraId="35DDE86A" w14:textId="77777777" w:rsidR="00212170" w:rsidRPr="00212170" w:rsidRDefault="00212170" w:rsidP="00D37DD4">
            <w:pPr>
              <w:tabs>
                <w:tab w:val="center" w:pos="2069"/>
              </w:tabs>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Learning Outcome</w:t>
            </w:r>
          </w:p>
        </w:tc>
        <w:tc>
          <w:tcPr>
            <w:tcW w:w="626" w:type="pct"/>
            <w:gridSpan w:val="2"/>
            <w:tcBorders>
              <w:top w:val="nil"/>
              <w:left w:val="nil"/>
              <w:bottom w:val="single" w:sz="4" w:space="0" w:color="A6A6A6"/>
              <w:right w:val="nil"/>
            </w:tcBorders>
            <w:shd w:val="clear" w:color="auto" w:fill="auto"/>
          </w:tcPr>
          <w:p w14:paraId="1D29EFAB"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Module(s)</w:t>
            </w:r>
          </w:p>
        </w:tc>
        <w:tc>
          <w:tcPr>
            <w:tcW w:w="1429" w:type="pct"/>
            <w:tcBorders>
              <w:top w:val="nil"/>
              <w:left w:val="nil"/>
              <w:bottom w:val="single" w:sz="4" w:space="0" w:color="A6A6A6"/>
              <w:right w:val="nil"/>
            </w:tcBorders>
            <w:shd w:val="clear" w:color="auto" w:fill="auto"/>
          </w:tcPr>
          <w:p w14:paraId="6CDC3FB2"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Mode of Assessing</w:t>
            </w:r>
          </w:p>
        </w:tc>
        <w:tc>
          <w:tcPr>
            <w:tcW w:w="544" w:type="pct"/>
            <w:tcBorders>
              <w:top w:val="nil"/>
              <w:left w:val="nil"/>
              <w:bottom w:val="single" w:sz="4" w:space="0" w:color="A6A6A6"/>
              <w:right w:val="nil"/>
            </w:tcBorders>
            <w:shd w:val="clear" w:color="auto" w:fill="auto"/>
          </w:tcPr>
          <w:p w14:paraId="588481E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Entry Award</w:t>
            </w:r>
          </w:p>
        </w:tc>
      </w:tr>
      <w:tr w:rsidR="00614512" w:rsidRPr="00212170" w14:paraId="73E69912"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19C5863"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C1</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5F79F1D" w14:textId="77777777" w:rsidR="00212170" w:rsidRPr="00212170" w:rsidRDefault="00212170" w:rsidP="006175CE">
            <w:pPr>
              <w:spacing w:after="0" w:line="240" w:lineRule="auto"/>
              <w:rPr>
                <w:rFonts w:asciiTheme="minorHAnsi" w:hAnsiTheme="minorHAnsi" w:cstheme="minorHAnsi"/>
                <w:sz w:val="20"/>
              </w:rPr>
            </w:pPr>
            <w:r w:rsidRPr="00212170">
              <w:rPr>
                <w:rFonts w:asciiTheme="minorHAnsi" w:hAnsiTheme="minorHAnsi" w:cstheme="minorHAnsi"/>
                <w:sz w:val="20"/>
              </w:rPr>
              <w:t>Manage time and resources effectively</w:t>
            </w:r>
          </w:p>
        </w:tc>
        <w:tc>
          <w:tcPr>
            <w:tcW w:w="626" w:type="pct"/>
            <w:gridSpan w:val="2"/>
            <w:tcBorders>
              <w:top w:val="single" w:sz="4" w:space="0" w:color="A6A6A6"/>
              <w:left w:val="single" w:sz="4" w:space="0" w:color="A6A6A6"/>
              <w:bottom w:val="single" w:sz="4" w:space="0" w:color="A6A6A6"/>
              <w:right w:val="single" w:sz="4" w:space="0" w:color="A6A6A6"/>
            </w:tcBorders>
            <w:shd w:val="clear" w:color="auto" w:fill="F0F0F0"/>
          </w:tcPr>
          <w:p w14:paraId="279FEA83"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700, 713, 732</w:t>
            </w:r>
          </w:p>
        </w:tc>
        <w:tc>
          <w:tcPr>
            <w:tcW w:w="1429" w:type="pct"/>
            <w:tcBorders>
              <w:top w:val="single" w:sz="4" w:space="0" w:color="A6A6A6"/>
              <w:left w:val="single" w:sz="4" w:space="0" w:color="A6A6A6"/>
              <w:bottom w:val="single" w:sz="4" w:space="0" w:color="A6A6A6"/>
              <w:right w:val="single" w:sz="4" w:space="0" w:color="A6A6A6"/>
            </w:tcBorders>
            <w:shd w:val="clear" w:color="auto" w:fill="F0F0F0"/>
          </w:tcPr>
          <w:p w14:paraId="3CF4684D"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group presentation, individual report, research report</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07521B1B"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3519528F"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08B4591"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C2</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9F8B999" w14:textId="77777777" w:rsidR="00212170" w:rsidRPr="00212170" w:rsidRDefault="00212170" w:rsidP="006175CE">
            <w:pPr>
              <w:spacing w:after="0" w:line="240" w:lineRule="auto"/>
              <w:rPr>
                <w:rFonts w:asciiTheme="minorHAnsi" w:hAnsiTheme="minorHAnsi" w:cstheme="minorHAnsi"/>
                <w:sz w:val="20"/>
              </w:rPr>
            </w:pPr>
            <w:r w:rsidRPr="00212170">
              <w:rPr>
                <w:rFonts w:asciiTheme="minorHAnsi" w:hAnsiTheme="minorHAnsi" w:cstheme="minorHAnsi"/>
                <w:sz w:val="20"/>
              </w:rPr>
              <w:t>Take a leadership role in managing change and contribute effectively in responding to population health issues</w:t>
            </w:r>
          </w:p>
        </w:tc>
        <w:tc>
          <w:tcPr>
            <w:tcW w:w="626" w:type="pct"/>
            <w:gridSpan w:val="2"/>
            <w:tcBorders>
              <w:top w:val="single" w:sz="4" w:space="0" w:color="A6A6A6"/>
              <w:left w:val="single" w:sz="4" w:space="0" w:color="A6A6A6"/>
              <w:bottom w:val="single" w:sz="4" w:space="0" w:color="A6A6A6"/>
              <w:right w:val="single" w:sz="4" w:space="0" w:color="A6A6A6"/>
            </w:tcBorders>
            <w:shd w:val="clear" w:color="auto" w:fill="F0F0F0"/>
          </w:tcPr>
          <w:p w14:paraId="45F4E80A"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700, 703, 713, 718, 726</w:t>
            </w:r>
          </w:p>
        </w:tc>
        <w:tc>
          <w:tcPr>
            <w:tcW w:w="1429" w:type="pct"/>
            <w:tcBorders>
              <w:top w:val="single" w:sz="4" w:space="0" w:color="A6A6A6"/>
              <w:left w:val="single" w:sz="4" w:space="0" w:color="A6A6A6"/>
              <w:bottom w:val="single" w:sz="4" w:space="0" w:color="A6A6A6"/>
              <w:right w:val="single" w:sz="4" w:space="0" w:color="A6A6A6"/>
            </w:tcBorders>
            <w:shd w:val="clear" w:color="auto" w:fill="F0F0F0"/>
          </w:tcPr>
          <w:p w14:paraId="5F76B015"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critical analysis, group presentation, individual report, critical review, group presentation, essay, group presentation, individual reflection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674DF769"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68B8742C"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27810281"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C3</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B49DE71" w14:textId="77777777" w:rsidR="00212170" w:rsidRPr="00212170" w:rsidRDefault="00212170" w:rsidP="006175CE">
            <w:pPr>
              <w:spacing w:after="0" w:line="240" w:lineRule="auto"/>
              <w:rPr>
                <w:rFonts w:asciiTheme="minorHAnsi" w:hAnsiTheme="minorHAnsi" w:cstheme="minorHAnsi"/>
                <w:sz w:val="20"/>
              </w:rPr>
            </w:pPr>
            <w:r w:rsidRPr="00212170">
              <w:rPr>
                <w:rFonts w:asciiTheme="minorHAnsi" w:hAnsiTheme="minorHAnsi" w:cstheme="minorHAnsi"/>
                <w:sz w:val="20"/>
              </w:rPr>
              <w:t>Apply appropriate governance frameworks to engage effectively with communities to improve health and wellbeing</w:t>
            </w:r>
          </w:p>
        </w:tc>
        <w:tc>
          <w:tcPr>
            <w:tcW w:w="626" w:type="pct"/>
            <w:gridSpan w:val="2"/>
            <w:tcBorders>
              <w:top w:val="single" w:sz="4" w:space="0" w:color="A6A6A6"/>
              <w:left w:val="single" w:sz="4" w:space="0" w:color="A6A6A6"/>
              <w:bottom w:val="single" w:sz="4" w:space="0" w:color="A6A6A6"/>
              <w:right w:val="single" w:sz="4" w:space="0" w:color="A6A6A6"/>
            </w:tcBorders>
            <w:shd w:val="clear" w:color="auto" w:fill="F0F0F0"/>
          </w:tcPr>
          <w:p w14:paraId="7BE744C7"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700, 718</w:t>
            </w:r>
          </w:p>
        </w:tc>
        <w:tc>
          <w:tcPr>
            <w:tcW w:w="1429" w:type="pct"/>
            <w:tcBorders>
              <w:top w:val="single" w:sz="4" w:space="0" w:color="A6A6A6"/>
              <w:left w:val="single" w:sz="4" w:space="0" w:color="A6A6A6"/>
              <w:bottom w:val="single" w:sz="4" w:space="0" w:color="A6A6A6"/>
              <w:right w:val="single" w:sz="4" w:space="0" w:color="A6A6A6"/>
            </w:tcBorders>
            <w:shd w:val="clear" w:color="auto" w:fill="F0F0F0"/>
          </w:tcPr>
          <w:p w14:paraId="72467B2E"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critical review, group presentation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14F07B57"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0D5396DA"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74DA556"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C4</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CC968E" w14:textId="77777777" w:rsidR="00212170" w:rsidRPr="00212170" w:rsidRDefault="00212170" w:rsidP="006175CE">
            <w:pPr>
              <w:spacing w:after="0" w:line="240" w:lineRule="auto"/>
              <w:rPr>
                <w:rFonts w:asciiTheme="minorHAnsi" w:hAnsiTheme="minorHAnsi" w:cstheme="minorHAnsi"/>
                <w:sz w:val="20"/>
              </w:rPr>
            </w:pPr>
            <w:r w:rsidRPr="00212170">
              <w:rPr>
                <w:rFonts w:asciiTheme="minorHAnsi" w:hAnsiTheme="minorHAnsi" w:cstheme="minorHAnsi"/>
                <w:sz w:val="20"/>
              </w:rPr>
              <w:t>Communicate and negotiate effectively with colleagues and the public, and act as an advocate to improve health for all, but especially for disadvantaged groups</w:t>
            </w:r>
          </w:p>
        </w:tc>
        <w:tc>
          <w:tcPr>
            <w:tcW w:w="626" w:type="pct"/>
            <w:gridSpan w:val="2"/>
            <w:tcBorders>
              <w:top w:val="single" w:sz="4" w:space="0" w:color="A6A6A6"/>
              <w:left w:val="single" w:sz="4" w:space="0" w:color="A6A6A6"/>
              <w:bottom w:val="single" w:sz="4" w:space="0" w:color="A6A6A6"/>
              <w:right w:val="single" w:sz="4" w:space="0" w:color="A6A6A6"/>
            </w:tcBorders>
            <w:shd w:val="clear" w:color="auto" w:fill="F0F0F0"/>
          </w:tcPr>
          <w:p w14:paraId="6BB895E8"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700, 713, 729, 727, 726</w:t>
            </w:r>
          </w:p>
        </w:tc>
        <w:tc>
          <w:tcPr>
            <w:tcW w:w="1429" w:type="pct"/>
            <w:tcBorders>
              <w:top w:val="single" w:sz="4" w:space="0" w:color="A6A6A6"/>
              <w:left w:val="single" w:sz="4" w:space="0" w:color="A6A6A6"/>
              <w:bottom w:val="single" w:sz="4" w:space="0" w:color="A6A6A6"/>
              <w:right w:val="single" w:sz="4" w:space="0" w:color="A6A6A6"/>
            </w:tcBorders>
            <w:shd w:val="clear" w:color="auto" w:fill="F0F0F0"/>
          </w:tcPr>
          <w:p w14:paraId="235BDAB2"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Scientific report, research proposal, group presentation, individual report, policy brief, poster presentation, epidemiological report, essay, group presentation, individual reflection</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15E1AA6B"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17612172" w14:textId="77777777" w:rsidTr="00212170">
        <w:tc>
          <w:tcPr>
            <w:tcW w:w="212"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ACEE3B7" w14:textId="77777777" w:rsidR="00212170" w:rsidRPr="00212170" w:rsidRDefault="00212170" w:rsidP="007D2E54">
            <w:pPr>
              <w:spacing w:after="0" w:line="240" w:lineRule="auto"/>
              <w:rPr>
                <w:rFonts w:asciiTheme="minorHAnsi" w:hAnsiTheme="minorHAnsi" w:cstheme="minorHAnsi"/>
                <w:sz w:val="20"/>
              </w:rPr>
            </w:pPr>
            <w:r w:rsidRPr="00212170">
              <w:rPr>
                <w:rFonts w:asciiTheme="minorHAnsi" w:hAnsiTheme="minorHAnsi" w:cstheme="minorHAnsi"/>
                <w:sz w:val="20"/>
              </w:rPr>
              <w:t>C5</w:t>
            </w:r>
          </w:p>
        </w:tc>
        <w:tc>
          <w:tcPr>
            <w:tcW w:w="2189" w:type="pct"/>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E02B800" w14:textId="77777777" w:rsidR="00212170" w:rsidRPr="00212170" w:rsidRDefault="00212170" w:rsidP="006175CE">
            <w:pPr>
              <w:spacing w:after="0" w:line="240" w:lineRule="auto"/>
              <w:rPr>
                <w:rFonts w:asciiTheme="minorHAnsi" w:hAnsiTheme="minorHAnsi" w:cstheme="minorHAnsi"/>
                <w:sz w:val="20"/>
              </w:rPr>
            </w:pPr>
            <w:r w:rsidRPr="00212170">
              <w:rPr>
                <w:rFonts w:asciiTheme="minorHAnsi" w:hAnsiTheme="minorHAnsi" w:cstheme="minorHAnsi"/>
                <w:sz w:val="20"/>
              </w:rPr>
              <w:t>Design and undertake research investigations in a responsible and ethical manner, including the use of appropriate technology.</w:t>
            </w:r>
          </w:p>
        </w:tc>
        <w:tc>
          <w:tcPr>
            <w:tcW w:w="626" w:type="pct"/>
            <w:gridSpan w:val="2"/>
            <w:tcBorders>
              <w:top w:val="single" w:sz="4" w:space="0" w:color="A6A6A6"/>
              <w:left w:val="single" w:sz="4" w:space="0" w:color="A6A6A6"/>
              <w:bottom w:val="single" w:sz="4" w:space="0" w:color="A6A6A6"/>
              <w:right w:val="single" w:sz="4" w:space="0" w:color="A6A6A6"/>
            </w:tcBorders>
            <w:shd w:val="clear" w:color="auto" w:fill="F0F0F0"/>
          </w:tcPr>
          <w:p w14:paraId="5959ADA4"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702, 700, 727, 732</w:t>
            </w:r>
          </w:p>
        </w:tc>
        <w:tc>
          <w:tcPr>
            <w:tcW w:w="1429" w:type="pct"/>
            <w:tcBorders>
              <w:top w:val="single" w:sz="4" w:space="0" w:color="A6A6A6"/>
              <w:left w:val="single" w:sz="4" w:space="0" w:color="A6A6A6"/>
              <w:bottom w:val="single" w:sz="4" w:space="0" w:color="A6A6A6"/>
              <w:right w:val="single" w:sz="4" w:space="0" w:color="A6A6A6"/>
            </w:tcBorders>
            <w:shd w:val="clear" w:color="auto" w:fill="F0F0F0"/>
          </w:tcPr>
          <w:p w14:paraId="60675E05"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MCQ exam, critical reflection, scientific report, research proposal, epidemiological report, research report</w:t>
            </w:r>
          </w:p>
        </w:tc>
        <w:tc>
          <w:tcPr>
            <w:tcW w:w="544" w:type="pct"/>
            <w:tcBorders>
              <w:top w:val="single" w:sz="4" w:space="0" w:color="A6A6A6"/>
              <w:left w:val="single" w:sz="4" w:space="0" w:color="A6A6A6"/>
              <w:bottom w:val="single" w:sz="4" w:space="0" w:color="A6A6A6"/>
              <w:right w:val="single" w:sz="4" w:space="0" w:color="A6A6A6"/>
            </w:tcBorders>
            <w:shd w:val="clear" w:color="auto" w:fill="F0F0F0"/>
          </w:tcPr>
          <w:p w14:paraId="788EBFCD" w14:textId="77777777" w:rsidR="00212170" w:rsidRPr="00212170" w:rsidRDefault="00212170" w:rsidP="000852E7">
            <w:pPr>
              <w:spacing w:after="0" w:line="240" w:lineRule="auto"/>
              <w:rPr>
                <w:rFonts w:asciiTheme="minorHAnsi" w:hAnsiTheme="minorHAnsi" w:cstheme="minorHAnsi"/>
                <w:sz w:val="20"/>
              </w:rPr>
            </w:pPr>
            <w:r w:rsidRPr="00212170">
              <w:rPr>
                <w:rFonts w:asciiTheme="minorHAnsi" w:hAnsiTheme="minorHAnsi" w:cstheme="minorHAnsi"/>
                <w:sz w:val="20"/>
              </w:rPr>
              <w:t>All Awards</w:t>
            </w:r>
          </w:p>
        </w:tc>
      </w:tr>
      <w:tr w:rsidR="00614512" w:rsidRPr="00212170" w14:paraId="123D0D98" w14:textId="77777777" w:rsidTr="00212170">
        <w:tc>
          <w:tcPr>
            <w:tcW w:w="212" w:type="pct"/>
            <w:gridSpan w:val="2"/>
            <w:tcBorders>
              <w:top w:val="single" w:sz="4" w:space="0" w:color="A6A6A6"/>
              <w:left w:val="nil"/>
              <w:bottom w:val="nil"/>
              <w:right w:val="nil"/>
            </w:tcBorders>
            <w:shd w:val="clear" w:color="auto" w:fill="auto"/>
            <w:tcMar>
              <w:top w:w="28" w:type="dxa"/>
              <w:left w:w="57" w:type="dxa"/>
              <w:bottom w:w="28" w:type="dxa"/>
              <w:right w:w="57" w:type="dxa"/>
            </w:tcMar>
          </w:tcPr>
          <w:p w14:paraId="044CE391" w14:textId="77777777" w:rsidR="00212170" w:rsidRPr="00212170" w:rsidRDefault="00212170" w:rsidP="00235389">
            <w:pPr>
              <w:spacing w:after="0" w:line="240" w:lineRule="auto"/>
              <w:jc w:val="right"/>
              <w:rPr>
                <w:rFonts w:asciiTheme="minorHAnsi" w:hAnsiTheme="minorHAnsi" w:cstheme="minorHAnsi"/>
                <w:b/>
                <w:sz w:val="8"/>
                <w:szCs w:val="10"/>
              </w:rPr>
            </w:pPr>
          </w:p>
        </w:tc>
        <w:tc>
          <w:tcPr>
            <w:tcW w:w="4788" w:type="pct"/>
            <w:gridSpan w:val="6"/>
            <w:tcBorders>
              <w:top w:val="single" w:sz="4" w:space="0" w:color="A6A6A6"/>
              <w:left w:val="nil"/>
              <w:bottom w:val="nil"/>
              <w:right w:val="nil"/>
            </w:tcBorders>
            <w:shd w:val="clear" w:color="auto" w:fill="auto"/>
            <w:tcMar>
              <w:top w:w="28" w:type="dxa"/>
              <w:left w:w="57" w:type="dxa"/>
              <w:bottom w:w="28" w:type="dxa"/>
              <w:right w:w="57" w:type="dxa"/>
            </w:tcMar>
          </w:tcPr>
          <w:p w14:paraId="14C2DA4A" w14:textId="77777777" w:rsidR="00212170" w:rsidRPr="00212170" w:rsidRDefault="00212170" w:rsidP="00235389">
            <w:pPr>
              <w:spacing w:after="0" w:line="240" w:lineRule="auto"/>
              <w:rPr>
                <w:rFonts w:asciiTheme="minorHAnsi" w:hAnsiTheme="minorHAnsi" w:cstheme="minorHAnsi"/>
                <w:b/>
                <w:sz w:val="8"/>
                <w:szCs w:val="10"/>
              </w:rPr>
            </w:pPr>
          </w:p>
        </w:tc>
      </w:tr>
      <w:tr w:rsidR="00614512" w:rsidRPr="00212170" w14:paraId="1CEA1809" w14:textId="77777777" w:rsidTr="00212170">
        <w:tc>
          <w:tcPr>
            <w:tcW w:w="143" w:type="pct"/>
            <w:tcBorders>
              <w:top w:val="nil"/>
              <w:left w:val="nil"/>
              <w:bottom w:val="single" w:sz="4" w:space="0" w:color="A6A6A6"/>
              <w:right w:val="nil"/>
            </w:tcBorders>
            <w:shd w:val="clear" w:color="auto" w:fill="auto"/>
            <w:tcMar>
              <w:top w:w="28" w:type="dxa"/>
              <w:left w:w="57" w:type="dxa"/>
              <w:bottom w:w="28" w:type="dxa"/>
              <w:right w:w="57" w:type="dxa"/>
            </w:tcMar>
          </w:tcPr>
          <w:p w14:paraId="4B3F4959" w14:textId="77777777" w:rsidR="00212170" w:rsidRPr="00212170" w:rsidRDefault="00212170" w:rsidP="00D37DD4">
            <w:pPr>
              <w:spacing w:after="0" w:line="240" w:lineRule="auto"/>
              <w:jc w:val="both"/>
              <w:rPr>
                <w:rFonts w:asciiTheme="minorHAnsi" w:hAnsiTheme="minorHAnsi" w:cstheme="minorHAnsi"/>
                <w:b/>
                <w:color w:val="B11636"/>
                <w:sz w:val="20"/>
              </w:rPr>
            </w:pPr>
            <w:r w:rsidRPr="00212170">
              <w:rPr>
                <w:rFonts w:asciiTheme="minorHAnsi" w:hAnsiTheme="minorHAnsi" w:cstheme="minorHAnsi"/>
                <w:b/>
                <w:color w:val="B11636"/>
                <w:sz w:val="20"/>
              </w:rPr>
              <w:lastRenderedPageBreak/>
              <w:t>21</w:t>
            </w:r>
          </w:p>
        </w:tc>
        <w:tc>
          <w:tcPr>
            <w:tcW w:w="4857" w:type="pct"/>
            <w:gridSpan w:val="7"/>
            <w:tcBorders>
              <w:top w:val="nil"/>
              <w:left w:val="nil"/>
              <w:bottom w:val="single" w:sz="4" w:space="0" w:color="A6A6A6"/>
              <w:right w:val="nil"/>
            </w:tcBorders>
            <w:shd w:val="clear" w:color="auto" w:fill="auto"/>
            <w:tcMar>
              <w:top w:w="28" w:type="dxa"/>
              <w:left w:w="57" w:type="dxa"/>
              <w:bottom w:w="28" w:type="dxa"/>
              <w:right w:w="57" w:type="dxa"/>
            </w:tcMar>
          </w:tcPr>
          <w:p w14:paraId="55EDBFF6"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Career Opportunities</w:t>
            </w:r>
          </w:p>
        </w:tc>
      </w:tr>
      <w:tr w:rsidR="00614512" w:rsidRPr="00212170" w14:paraId="04E6A158" w14:textId="77777777" w:rsidTr="00212170">
        <w:tc>
          <w:tcPr>
            <w:tcW w:w="5000" w:type="pct"/>
            <w:gridSpan w:val="8"/>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BA8D8AD" w14:textId="77777777" w:rsidR="00212170" w:rsidRPr="00212170" w:rsidRDefault="00212170" w:rsidP="007D2E54">
            <w:pPr>
              <w:spacing w:before="120" w:after="120" w:line="240" w:lineRule="auto"/>
              <w:rPr>
                <w:rFonts w:asciiTheme="minorHAnsi" w:hAnsiTheme="minorHAnsi" w:cstheme="minorHAnsi"/>
                <w:sz w:val="20"/>
              </w:rPr>
            </w:pPr>
            <w:r w:rsidRPr="00212170">
              <w:rPr>
                <w:rFonts w:asciiTheme="minorHAnsi" w:hAnsiTheme="minorHAnsi" w:cstheme="minorHAnsi"/>
                <w:sz w:val="20"/>
              </w:rPr>
              <w:t>Throughout the world, many career opportunities exist in the field of Public Health. PH responses to humanitarian emergencies have been highlighted by the Covid-19 pandemic, the war in Syria, the refugee camps &amp; mass migration from the area, natural disasters e.g. earthquakes &amp; tsunamis, the Ebola Outbreak, influenza &amp; MERS.</w:t>
            </w:r>
          </w:p>
          <w:p w14:paraId="778D42A8" w14:textId="77777777" w:rsidR="00614512" w:rsidRPr="00212170" w:rsidRDefault="00212170" w:rsidP="007D2E54">
            <w:pPr>
              <w:spacing w:before="120" w:after="120" w:line="240" w:lineRule="auto"/>
              <w:rPr>
                <w:rFonts w:asciiTheme="minorHAnsi" w:hAnsiTheme="minorHAnsi" w:cstheme="minorHAnsi"/>
                <w:sz w:val="20"/>
              </w:rPr>
            </w:pPr>
            <w:r w:rsidRPr="00212170">
              <w:rPr>
                <w:rFonts w:asciiTheme="minorHAnsi" w:hAnsiTheme="minorHAnsi" w:cstheme="minorHAnsi"/>
                <w:sz w:val="20"/>
              </w:rPr>
              <w:t xml:space="preserve">People with PH skills &amp; knowledge of the humanitarian sector are highly sought after.  Past alumni of this course typically gain employment in UN Agencies, national/international NGOs, aid organisations, health ministries/departments, or universities. </w:t>
            </w:r>
          </w:p>
          <w:p w14:paraId="014310C2" w14:textId="77777777" w:rsidR="00614512" w:rsidRPr="00212170" w:rsidRDefault="00212170" w:rsidP="007D2E54">
            <w:pPr>
              <w:spacing w:before="120" w:after="120" w:line="240" w:lineRule="auto"/>
              <w:rPr>
                <w:rFonts w:asciiTheme="minorHAnsi" w:hAnsiTheme="minorHAnsi" w:cstheme="minorHAnsi"/>
                <w:sz w:val="20"/>
              </w:rPr>
            </w:pPr>
            <w:r w:rsidRPr="00212170">
              <w:rPr>
                <w:rFonts w:asciiTheme="minorHAnsi" w:hAnsiTheme="minorHAnsi" w:cstheme="minorHAnsi"/>
                <w:sz w:val="20"/>
              </w:rPr>
              <w:t>As well as careers noted above, Humanitarian Health training makes graduates suitable to work in conflict related situations, with victims of displacement or persecution (in the global south &amp; north) &amp; with those whose livelihoods are impacted by natural &amp; man-made disasters.  MPH(I)-(HH) stream will enhance the versatility of contexts graduates are familiar with and will increase their employability with for and not-for profit agencies.</w:t>
            </w:r>
          </w:p>
        </w:tc>
      </w:tr>
    </w:tbl>
    <w:p w14:paraId="1EC86FA9" w14:textId="77777777" w:rsidR="00212170" w:rsidRPr="00212170" w:rsidRDefault="00212170">
      <w:pPr>
        <w:rPr>
          <w:rFonts w:asciiTheme="minorHAnsi" w:hAnsiTheme="minorHAnsi" w:cstheme="minorHAnsi"/>
          <w:sz w:val="20"/>
        </w:rPr>
        <w:sectPr w:rsidR="00212170" w:rsidRPr="00212170" w:rsidSect="004F1916">
          <w:headerReference w:type="default" r:id="rId14"/>
          <w:pgSz w:w="16838" w:h="11906" w:orient="landscape" w:code="9"/>
          <w:pgMar w:top="567" w:right="567" w:bottom="284" w:left="567" w:header="709" w:footer="284" w:gutter="0"/>
          <w:cols w:space="708"/>
          <w:docGrid w:linePitch="360"/>
        </w:sect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702"/>
        <w:gridCol w:w="8589"/>
      </w:tblGrid>
      <w:tr w:rsidR="00614512" w:rsidRPr="00212170" w14:paraId="073D549D" w14:textId="77777777" w:rsidTr="00D37DD4">
        <w:tc>
          <w:tcPr>
            <w:tcW w:w="10773" w:type="dxa"/>
            <w:gridSpan w:val="3"/>
            <w:tcBorders>
              <w:top w:val="nil"/>
              <w:left w:val="nil"/>
              <w:bottom w:val="nil"/>
              <w:right w:val="nil"/>
            </w:tcBorders>
            <w:shd w:val="clear" w:color="auto" w:fill="auto"/>
            <w:tcMar>
              <w:top w:w="28" w:type="dxa"/>
              <w:left w:w="57" w:type="dxa"/>
              <w:bottom w:w="28" w:type="dxa"/>
              <w:right w:w="57" w:type="dxa"/>
            </w:tcMar>
          </w:tcPr>
          <w:p w14:paraId="0A705855" w14:textId="77777777" w:rsidR="00212170" w:rsidRPr="00212170" w:rsidRDefault="00212170" w:rsidP="00212170">
            <w:pPr>
              <w:pStyle w:val="Heading2"/>
              <w:rPr>
                <w:rFonts w:asciiTheme="minorHAnsi" w:hAnsiTheme="minorHAnsi" w:cstheme="minorHAnsi"/>
                <w:i w:val="0"/>
                <w:iCs w:val="0"/>
                <w:sz w:val="22"/>
                <w:szCs w:val="22"/>
              </w:rPr>
            </w:pPr>
            <w:r w:rsidRPr="00212170">
              <w:rPr>
                <w:rFonts w:asciiTheme="minorHAnsi" w:hAnsiTheme="minorHAnsi" w:cstheme="minorHAnsi"/>
                <w:i w:val="0"/>
                <w:iCs w:val="0"/>
                <w:sz w:val="22"/>
                <w:szCs w:val="22"/>
              </w:rPr>
              <w:lastRenderedPageBreak/>
              <w:t>Part C: Entrance Requirements</w:t>
            </w:r>
          </w:p>
          <w:p w14:paraId="12F97655" w14:textId="77777777" w:rsidR="00212170" w:rsidRPr="00212170" w:rsidRDefault="00212170" w:rsidP="00D37DD4">
            <w:pPr>
              <w:spacing w:after="0" w:line="240" w:lineRule="auto"/>
              <w:rPr>
                <w:rFonts w:asciiTheme="minorHAnsi" w:hAnsiTheme="minorHAnsi" w:cstheme="minorHAnsi"/>
                <w:b/>
                <w:szCs w:val="24"/>
              </w:rPr>
            </w:pPr>
          </w:p>
        </w:tc>
      </w:tr>
      <w:tr w:rsidR="00614512" w:rsidRPr="00212170" w14:paraId="48061AA0"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56E3CFE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22</w:t>
            </w:r>
          </w:p>
          <w:p w14:paraId="7CACCB31" w14:textId="77777777" w:rsidR="00212170" w:rsidRPr="00212170" w:rsidRDefault="00212170" w:rsidP="00D37DD4">
            <w:pPr>
              <w:spacing w:after="0" w:line="240" w:lineRule="auto"/>
              <w:rPr>
                <w:rFonts w:asciiTheme="minorHAnsi" w:hAnsiTheme="minorHAnsi" w:cstheme="minorHAnsi"/>
                <w:b/>
                <w:color w:val="B11636"/>
                <w:sz w:val="20"/>
              </w:rPr>
            </w:pP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BFC0459"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Academic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E3F9363"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Open to health professionals and graduates in health or related disciplines.  In addition, candidates with qualifications such as law, psychology, education, social work/care, finance, business management, engineering, philosophy, anthropology, sociology, history, architecture and politics/international relations are welcome, particularly if they have relevant health related experience.  Non-graduates with considerable work experience in the health sector of low or middle-income countries and evidence of continued academic development through appropriate in-service training will also be considered.  Medical students who have completed at least three years of study and wish to intercalate are also accepted onto the programmme.</w:t>
            </w:r>
          </w:p>
        </w:tc>
      </w:tr>
      <w:tr w:rsidR="00614512" w:rsidRPr="00212170" w14:paraId="4344B6B2"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D3847EA"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632BA30A"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8589" w:type="dxa"/>
            <w:tcBorders>
              <w:top w:val="nil"/>
              <w:left w:val="nil"/>
              <w:bottom w:val="single" w:sz="4" w:space="0" w:color="A6A6A6"/>
              <w:right w:val="nil"/>
            </w:tcBorders>
            <w:shd w:val="clear" w:color="auto" w:fill="auto"/>
          </w:tcPr>
          <w:p w14:paraId="1C1A97F8"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173CB3AC"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E21ADF2"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23</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2D1AEA3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English Language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7C991161"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The programme is taught in English.  Applicants whose first language is not English must normally provide evidence of an IELTS (International English Language Testing System) score of at least 6.5 with a minimum of 5.5 in all learning components, or a TOEFL (Test of English as a Foreign Language) score of at least 88 for the Internet-based Test (iBT), with minimum scores of 21 for Listening and Writing, 22 for Reading and 23 for Speaking.  Tests should be within their validity period of 2 years.  Other English Language Tests and country specific English Language qualifications are also accepted - a full list with details of levels required can be found on the LSTM website (http://www.lstmed.ac.uk/study/how-to-apply/english-language-requirements). Applicants who have recently completed a degree level qualification taught in a majority English speaking country (as defined by UK Visas and Immigration (UKVI) may also be accepted at the discretion of the Director of Studies.</w:t>
            </w:r>
          </w:p>
        </w:tc>
      </w:tr>
      <w:tr w:rsidR="00614512" w:rsidRPr="00212170" w14:paraId="364637B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0EC583A9"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4A58AA62"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468D5016"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7223FCD1"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ED3DAD1"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24</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607E6961" w14:textId="77777777" w:rsidR="00212170" w:rsidRPr="00212170" w:rsidRDefault="00212170" w:rsidP="00571E56">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Recognition of Prior Learning</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6C9D85D4"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All programmes of study will permit entry with credit attributed to previous certificated study up to a total of one third of the credits required to be awarded a Master's degree, Postgraduate diploma, Postgraduate certificate or Postgraduate award.</w:t>
            </w:r>
          </w:p>
        </w:tc>
      </w:tr>
      <w:tr w:rsidR="00614512" w:rsidRPr="00212170" w14:paraId="1F043238" w14:textId="77777777" w:rsidTr="00235389">
        <w:tc>
          <w:tcPr>
            <w:tcW w:w="482" w:type="dxa"/>
            <w:tcBorders>
              <w:top w:val="nil"/>
              <w:left w:val="nil"/>
              <w:bottom w:val="nil"/>
              <w:right w:val="nil"/>
            </w:tcBorders>
            <w:shd w:val="clear" w:color="auto" w:fill="auto"/>
            <w:tcMar>
              <w:top w:w="28" w:type="dxa"/>
              <w:left w:w="57" w:type="dxa"/>
              <w:bottom w:w="28" w:type="dxa"/>
              <w:right w:w="57" w:type="dxa"/>
            </w:tcMar>
          </w:tcPr>
          <w:p w14:paraId="69A6BFDB" w14:textId="77777777" w:rsidR="00212170" w:rsidRPr="00212170" w:rsidRDefault="00212170" w:rsidP="00235389">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3D1B1DFC" w14:textId="77777777" w:rsidR="00212170" w:rsidRPr="00212170" w:rsidRDefault="00212170" w:rsidP="00235389">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545A15D3" w14:textId="77777777" w:rsidR="00212170" w:rsidRPr="00212170" w:rsidRDefault="00212170" w:rsidP="00235389">
            <w:pPr>
              <w:spacing w:after="0" w:line="240" w:lineRule="auto"/>
              <w:rPr>
                <w:rFonts w:asciiTheme="minorHAnsi" w:hAnsiTheme="minorHAnsi" w:cstheme="minorHAnsi"/>
                <w:sz w:val="8"/>
                <w:szCs w:val="10"/>
              </w:rPr>
            </w:pPr>
          </w:p>
        </w:tc>
      </w:tr>
      <w:tr w:rsidR="00614512" w:rsidRPr="00212170" w14:paraId="63075034"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7F075DC4"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25</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58A516B9"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Work Experience</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50658E0C"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Candidates generally require professional or voluntary experience in health or a related area in a low- or middle-income country.  Candidates without this experience are eligible, provided they can demonstrate an understanding and engagement in international public health issues or evidence of appropriate training. A protocol for assessing this has been developed and approved by the admissions team and senior management.</w:t>
            </w:r>
          </w:p>
        </w:tc>
      </w:tr>
      <w:tr w:rsidR="00614512" w:rsidRPr="00212170" w14:paraId="341598DC"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2A9CBFAC"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1702" w:type="dxa"/>
            <w:tcBorders>
              <w:top w:val="nil"/>
              <w:left w:val="nil"/>
              <w:bottom w:val="nil"/>
              <w:right w:val="nil"/>
            </w:tcBorders>
            <w:shd w:val="clear" w:color="auto" w:fill="auto"/>
            <w:tcMar>
              <w:top w:w="28" w:type="dxa"/>
              <w:left w:w="57" w:type="dxa"/>
              <w:bottom w:w="28" w:type="dxa"/>
              <w:right w:w="57" w:type="dxa"/>
            </w:tcMar>
          </w:tcPr>
          <w:p w14:paraId="5A71E8B9" w14:textId="77777777" w:rsidR="00212170" w:rsidRPr="00212170" w:rsidRDefault="00212170" w:rsidP="00D37DD4">
            <w:pPr>
              <w:spacing w:after="0" w:line="240" w:lineRule="auto"/>
              <w:rPr>
                <w:rFonts w:asciiTheme="minorHAnsi" w:hAnsiTheme="minorHAnsi" w:cstheme="minorHAnsi"/>
                <w:b/>
                <w:color w:val="B11636"/>
                <w:sz w:val="8"/>
                <w:szCs w:val="10"/>
              </w:rPr>
            </w:pPr>
          </w:p>
        </w:tc>
        <w:tc>
          <w:tcPr>
            <w:tcW w:w="8589" w:type="dxa"/>
            <w:tcBorders>
              <w:top w:val="single" w:sz="4" w:space="0" w:color="A6A6A6"/>
              <w:left w:val="nil"/>
              <w:bottom w:val="single" w:sz="4" w:space="0" w:color="A6A6A6"/>
              <w:right w:val="nil"/>
            </w:tcBorders>
            <w:shd w:val="clear" w:color="auto" w:fill="auto"/>
          </w:tcPr>
          <w:p w14:paraId="5EF9E6BC" w14:textId="77777777" w:rsidR="00212170" w:rsidRPr="00212170" w:rsidRDefault="00212170" w:rsidP="00D37DD4">
            <w:pPr>
              <w:spacing w:after="0" w:line="240" w:lineRule="auto"/>
              <w:rPr>
                <w:rFonts w:asciiTheme="minorHAnsi" w:hAnsiTheme="minorHAnsi" w:cstheme="minorHAnsi"/>
                <w:sz w:val="8"/>
                <w:szCs w:val="10"/>
              </w:rPr>
            </w:pPr>
          </w:p>
        </w:tc>
      </w:tr>
      <w:tr w:rsidR="00614512" w:rsidRPr="00212170" w14:paraId="54015485" w14:textId="77777777" w:rsidTr="00D37DD4">
        <w:tc>
          <w:tcPr>
            <w:tcW w:w="482" w:type="dxa"/>
            <w:tcBorders>
              <w:top w:val="nil"/>
              <w:left w:val="nil"/>
              <w:bottom w:val="nil"/>
              <w:right w:val="nil"/>
            </w:tcBorders>
            <w:shd w:val="clear" w:color="auto" w:fill="auto"/>
            <w:tcMar>
              <w:top w:w="28" w:type="dxa"/>
              <w:left w:w="57" w:type="dxa"/>
              <w:bottom w:w="28" w:type="dxa"/>
              <w:right w:w="57" w:type="dxa"/>
            </w:tcMar>
          </w:tcPr>
          <w:p w14:paraId="3B95EC3D"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26</w:t>
            </w:r>
          </w:p>
        </w:tc>
        <w:tc>
          <w:tcPr>
            <w:tcW w:w="1702" w:type="dxa"/>
            <w:tcBorders>
              <w:top w:val="nil"/>
              <w:left w:val="nil"/>
              <w:bottom w:val="nil"/>
              <w:right w:val="single" w:sz="4" w:space="0" w:color="A6A6A6"/>
            </w:tcBorders>
            <w:shd w:val="clear" w:color="auto" w:fill="auto"/>
            <w:tcMar>
              <w:top w:w="28" w:type="dxa"/>
              <w:left w:w="57" w:type="dxa"/>
              <w:bottom w:w="28" w:type="dxa"/>
              <w:right w:w="57" w:type="dxa"/>
            </w:tcMar>
          </w:tcPr>
          <w:p w14:paraId="0194C27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Other Requirements</w:t>
            </w:r>
          </w:p>
        </w:tc>
        <w:tc>
          <w:tcPr>
            <w:tcW w:w="8589" w:type="dxa"/>
            <w:tcBorders>
              <w:top w:val="single" w:sz="4" w:space="0" w:color="A6A6A6"/>
              <w:left w:val="single" w:sz="4" w:space="0" w:color="A6A6A6"/>
              <w:bottom w:val="single" w:sz="4" w:space="0" w:color="A6A6A6"/>
              <w:right w:val="single" w:sz="4" w:space="0" w:color="A6A6A6"/>
            </w:tcBorders>
            <w:shd w:val="clear" w:color="auto" w:fill="F0F0F0"/>
          </w:tcPr>
          <w:p w14:paraId="42F5350F" w14:textId="77777777" w:rsidR="00212170" w:rsidRPr="00212170" w:rsidRDefault="00212170" w:rsidP="00D37DD4">
            <w:pPr>
              <w:spacing w:after="0" w:line="240" w:lineRule="auto"/>
              <w:rPr>
                <w:rFonts w:asciiTheme="minorHAnsi" w:hAnsiTheme="minorHAnsi" w:cstheme="minorHAnsi"/>
                <w:sz w:val="20"/>
              </w:rPr>
            </w:pPr>
            <w:r w:rsidRPr="00212170">
              <w:rPr>
                <w:rFonts w:asciiTheme="minorHAnsi" w:hAnsiTheme="minorHAnsi" w:cstheme="minorHAnsi"/>
                <w:sz w:val="20"/>
              </w:rPr>
              <w:t>Basic computing skills (e.g. word processing; emailing; webcam; printing)</w:t>
            </w:r>
          </w:p>
        </w:tc>
      </w:tr>
    </w:tbl>
    <w:p w14:paraId="52144FFA" w14:textId="77777777" w:rsidR="00212170" w:rsidRPr="00212170" w:rsidRDefault="00212170">
      <w:pPr>
        <w:rPr>
          <w:rFonts w:asciiTheme="minorHAnsi" w:hAnsiTheme="minorHAnsi" w:cstheme="minorHAnsi"/>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91"/>
      </w:tblGrid>
      <w:tr w:rsidR="00614512" w:rsidRPr="00212170" w14:paraId="193DF2BA" w14:textId="77777777" w:rsidTr="009A60D7">
        <w:tc>
          <w:tcPr>
            <w:tcW w:w="10773" w:type="dxa"/>
            <w:gridSpan w:val="2"/>
            <w:tcBorders>
              <w:top w:val="nil"/>
              <w:left w:val="nil"/>
              <w:bottom w:val="nil"/>
              <w:right w:val="nil"/>
            </w:tcBorders>
            <w:shd w:val="clear" w:color="auto" w:fill="auto"/>
            <w:tcMar>
              <w:top w:w="28" w:type="dxa"/>
              <w:left w:w="57" w:type="dxa"/>
              <w:bottom w:w="28" w:type="dxa"/>
              <w:right w:w="57" w:type="dxa"/>
            </w:tcMar>
          </w:tcPr>
          <w:p w14:paraId="704D059B" w14:textId="77777777" w:rsidR="00212170" w:rsidRPr="00212170" w:rsidRDefault="00212170" w:rsidP="00212170">
            <w:pPr>
              <w:pStyle w:val="Heading2"/>
              <w:rPr>
                <w:rFonts w:asciiTheme="minorHAnsi" w:hAnsiTheme="minorHAnsi" w:cstheme="minorHAnsi"/>
                <w:i w:val="0"/>
                <w:iCs w:val="0"/>
                <w:sz w:val="22"/>
                <w:szCs w:val="22"/>
              </w:rPr>
            </w:pPr>
            <w:r w:rsidRPr="00212170">
              <w:rPr>
                <w:rFonts w:asciiTheme="minorHAnsi" w:hAnsiTheme="minorHAnsi" w:cstheme="minorHAnsi"/>
                <w:i w:val="0"/>
                <w:iCs w:val="0"/>
                <w:sz w:val="22"/>
                <w:szCs w:val="22"/>
              </w:rPr>
              <w:t>Part D: Programme Structure</w:t>
            </w:r>
          </w:p>
          <w:p w14:paraId="55DCF8B4" w14:textId="77777777" w:rsidR="00212170" w:rsidRPr="00212170" w:rsidRDefault="00212170" w:rsidP="009A60D7">
            <w:pPr>
              <w:spacing w:after="0" w:line="240" w:lineRule="auto"/>
              <w:rPr>
                <w:rFonts w:asciiTheme="minorHAnsi" w:hAnsiTheme="minorHAnsi" w:cstheme="minorHAnsi"/>
                <w:b/>
                <w:szCs w:val="24"/>
              </w:rPr>
            </w:pPr>
          </w:p>
        </w:tc>
      </w:tr>
      <w:tr w:rsidR="00614512" w:rsidRPr="00212170" w14:paraId="2399401B" w14:textId="77777777" w:rsidTr="00C7321D">
        <w:tc>
          <w:tcPr>
            <w:tcW w:w="482" w:type="dxa"/>
            <w:tcBorders>
              <w:top w:val="nil"/>
              <w:left w:val="nil"/>
              <w:bottom w:val="nil"/>
              <w:right w:val="nil"/>
            </w:tcBorders>
            <w:shd w:val="clear" w:color="auto" w:fill="auto"/>
            <w:tcMar>
              <w:top w:w="28" w:type="dxa"/>
              <w:left w:w="57" w:type="dxa"/>
              <w:bottom w:w="28" w:type="dxa"/>
              <w:right w:w="57" w:type="dxa"/>
            </w:tcMar>
          </w:tcPr>
          <w:p w14:paraId="78957B2B" w14:textId="77777777" w:rsidR="00212170" w:rsidRPr="00212170" w:rsidRDefault="00212170" w:rsidP="002F1246">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27a</w:t>
            </w:r>
          </w:p>
        </w:tc>
        <w:tc>
          <w:tcPr>
            <w:tcW w:w="10291" w:type="dxa"/>
            <w:tcBorders>
              <w:top w:val="nil"/>
              <w:left w:val="nil"/>
              <w:bottom w:val="nil"/>
              <w:right w:val="single" w:sz="4" w:space="0" w:color="A6A6A6"/>
            </w:tcBorders>
            <w:shd w:val="clear" w:color="auto" w:fill="auto"/>
            <w:tcMar>
              <w:top w:w="28" w:type="dxa"/>
              <w:left w:w="57" w:type="dxa"/>
              <w:bottom w:w="28" w:type="dxa"/>
              <w:right w:w="57" w:type="dxa"/>
            </w:tcMar>
          </w:tcPr>
          <w:p w14:paraId="19A32A44" w14:textId="77777777" w:rsidR="00212170" w:rsidRPr="00212170" w:rsidRDefault="00212170" w:rsidP="002F1246">
            <w:pPr>
              <w:spacing w:after="0" w:line="240" w:lineRule="auto"/>
              <w:rPr>
                <w:rFonts w:asciiTheme="minorHAnsi" w:hAnsiTheme="minorHAnsi" w:cstheme="minorHAnsi"/>
                <w:sz w:val="20"/>
              </w:rPr>
            </w:pPr>
            <w:r w:rsidRPr="00212170">
              <w:rPr>
                <w:rFonts w:asciiTheme="minorHAnsi" w:hAnsiTheme="minorHAnsi" w:cstheme="minorHAnsi"/>
                <w:b/>
                <w:color w:val="B11636"/>
                <w:sz w:val="20"/>
              </w:rPr>
              <w:t>Overview</w:t>
            </w:r>
          </w:p>
        </w:tc>
      </w:tr>
      <w:tr w:rsidR="00614512" w:rsidRPr="00212170" w14:paraId="70783892" w14:textId="77777777" w:rsidTr="00C7321D">
        <w:tc>
          <w:tcPr>
            <w:tcW w:w="10773"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7C09B29"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The MPH (Humanitarian Health) programme is modular in structure with each taught module worth 20 credits and the dissertation project 60 credits. Each module (20 credits) represents 200 hours of student learning including assessments and self-directed study. </w:t>
            </w:r>
          </w:p>
          <w:p w14:paraId="430D50A8"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The MPH (Humanitarian Health) is offered within a dynamic research-led environment and its content is informed by the cutting-edge research activities of the academic staff. It is designed to enable the professional development of the student, to be relevant to students from both the UK and overseas and to promote approaches to study that will enable graduates to continue their learning into the future.</w:t>
            </w:r>
          </w:p>
          <w:p w14:paraId="70DC11EC"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Students can carry out a fieldwork-based dissertation project overseas, in a local setting or can conduct a literature-based project that does not involve travelling abroad. All types of project have the key aims of developing the students’ skills in formulating a research question, designing and implementing a research project and critically interpreting and presenting the findings.  The timing of modules across the academic year recognises the financial and time constraints faced by LSTM students, many of whom are from outside UK. </w:t>
            </w:r>
          </w:p>
          <w:p w14:paraId="6CBED82D" w14:textId="5202822B" w:rsidR="00212170"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The modules available to students following the programme are shown in Section 27b. Required modules are necessary to achieve the programme learning outcomes and must be taken by all students following the programme. The optional modules listed have been identified as most suitable for contributing to the attainment of the programme learning outcomes.  </w:t>
            </w:r>
          </w:p>
        </w:tc>
      </w:tr>
    </w:tbl>
    <w:p w14:paraId="4F1F2D8D" w14:textId="77777777" w:rsidR="00212170" w:rsidRPr="00212170" w:rsidRDefault="00212170">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14512" w:rsidRPr="00212170" w14:paraId="48615438"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7A236571" w14:textId="77777777" w:rsidR="00212170" w:rsidRPr="00212170" w:rsidRDefault="00212170" w:rsidP="00CD3576">
            <w:pPr>
              <w:pageBreakBefore/>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lastRenderedPageBreak/>
              <w:t>27b</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3AF79D7B"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Timetable</w:t>
            </w:r>
          </w:p>
        </w:tc>
      </w:tr>
      <w:tr w:rsidR="00614512" w:rsidRPr="00212170" w14:paraId="2504C139"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58E8CEB2" w14:textId="77777777" w:rsidR="00212170" w:rsidRPr="00212170" w:rsidRDefault="00212170" w:rsidP="00864585">
            <w:pPr>
              <w:spacing w:after="0" w:line="240" w:lineRule="auto"/>
              <w:rPr>
                <w:rFonts w:asciiTheme="minorHAnsi" w:hAnsiTheme="minorHAnsi" w:cstheme="minorHAnsi"/>
                <w:sz w:val="20"/>
              </w:rPr>
            </w:pPr>
          </w:p>
          <w:p w14:paraId="764E6125" w14:textId="77777777" w:rsidR="00614512" w:rsidRPr="00212170" w:rsidRDefault="00614512" w:rsidP="00864585">
            <w:pPr>
              <w:spacing w:after="0" w:line="240" w:lineRule="auto"/>
              <w:jc w:val="center"/>
              <w:rPr>
                <w:rFonts w:asciiTheme="minorHAnsi" w:hAnsiTheme="minorHAnsi" w:cstheme="minorHAnsi"/>
                <w:sz w:val="20"/>
                <w:szCs w:val="20"/>
              </w:rPr>
            </w:pPr>
          </w:p>
          <w:p w14:paraId="37F1CA85" w14:textId="745B7FCA" w:rsidR="00614512" w:rsidRPr="00212170" w:rsidRDefault="00212170" w:rsidP="00864585">
            <w:pPr>
              <w:spacing w:after="0" w:line="240" w:lineRule="auto"/>
              <w:jc w:val="center"/>
              <w:rPr>
                <w:rFonts w:asciiTheme="minorHAnsi" w:hAnsiTheme="minorHAnsi" w:cstheme="minorHAnsi"/>
                <w:sz w:val="20"/>
                <w:szCs w:val="20"/>
              </w:rPr>
            </w:pPr>
            <w:r w:rsidRPr="00212170">
              <w:rPr>
                <w:rFonts w:asciiTheme="minorHAnsi" w:hAnsiTheme="minorHAnsi" w:cstheme="minorHAnsi"/>
                <w:sz w:val="20"/>
              </w:rPr>
              <w:t> </w:t>
            </w:r>
            <w:r w:rsidRPr="00212170">
              <w:rPr>
                <w:rFonts w:asciiTheme="minorHAnsi" w:hAnsiTheme="minorHAnsi" w:cstheme="minorHAnsi"/>
                <w:noProof/>
                <w:sz w:val="20"/>
              </w:rPr>
              <w:drawing>
                <wp:inline distT="0" distB="0" distL="0" distR="0" wp14:anchorId="406E96F6" wp14:editId="3201B24A">
                  <wp:extent cx="5950585" cy="3739515"/>
                  <wp:effectExtent l="0" t="0" r="0" b="0"/>
                  <wp:docPr id="1" name="Picture 4" descr="MPH-HH Modular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PH-HH Modular Structure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0585" cy="3739515"/>
                          </a:xfrm>
                          <a:prstGeom prst="rect">
                            <a:avLst/>
                          </a:prstGeom>
                          <a:noFill/>
                          <a:ln>
                            <a:noFill/>
                          </a:ln>
                        </pic:spPr>
                      </pic:pic>
                    </a:graphicData>
                  </a:graphic>
                </wp:inline>
              </w:drawing>
            </w:r>
          </w:p>
          <w:p w14:paraId="51F31061" w14:textId="77777777" w:rsidR="00614512" w:rsidRPr="00212170" w:rsidRDefault="00614512" w:rsidP="00864585">
            <w:pPr>
              <w:spacing w:after="0" w:line="240" w:lineRule="auto"/>
              <w:jc w:val="center"/>
              <w:rPr>
                <w:rFonts w:asciiTheme="minorHAnsi" w:hAnsiTheme="minorHAnsi" w:cstheme="minorHAnsi"/>
                <w:sz w:val="20"/>
                <w:szCs w:val="20"/>
              </w:rPr>
            </w:pPr>
          </w:p>
          <w:p w14:paraId="74C83EB0" w14:textId="4AFCCCCA" w:rsidR="00614512" w:rsidRPr="00212170" w:rsidRDefault="00212170" w:rsidP="00864585">
            <w:pPr>
              <w:spacing w:after="0" w:line="240" w:lineRule="auto"/>
              <w:jc w:val="center"/>
              <w:rPr>
                <w:rFonts w:asciiTheme="minorHAnsi" w:hAnsiTheme="minorHAnsi" w:cstheme="minorHAnsi"/>
                <w:sz w:val="20"/>
                <w:szCs w:val="20"/>
              </w:rPr>
            </w:pPr>
            <w:r w:rsidRPr="00212170">
              <w:rPr>
                <w:rFonts w:asciiTheme="minorHAnsi" w:hAnsiTheme="minorHAnsi" w:cstheme="minorHAnsi"/>
                <w:noProof/>
                <w:sz w:val="20"/>
              </w:rPr>
              <w:lastRenderedPageBreak/>
              <w:drawing>
                <wp:inline distT="0" distB="0" distL="0" distR="0" wp14:anchorId="6DA23B0C" wp14:editId="0D414B8B">
                  <wp:extent cx="5608955" cy="8086090"/>
                  <wp:effectExtent l="0" t="0" r="0" b="0"/>
                  <wp:docPr id="2" name="Picture 3" descr="MPH-HH Module Framework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PH-HH Module Framework 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955" cy="8086090"/>
                          </a:xfrm>
                          <a:prstGeom prst="rect">
                            <a:avLst/>
                          </a:prstGeom>
                          <a:noFill/>
                          <a:ln>
                            <a:noFill/>
                          </a:ln>
                        </pic:spPr>
                      </pic:pic>
                    </a:graphicData>
                  </a:graphic>
                </wp:inline>
              </w:drawing>
            </w:r>
          </w:p>
          <w:p w14:paraId="4119E3E4" w14:textId="77777777" w:rsidR="00614512" w:rsidRDefault="00614512" w:rsidP="00864585">
            <w:pPr>
              <w:spacing w:after="0" w:line="240" w:lineRule="auto"/>
              <w:jc w:val="center"/>
              <w:rPr>
                <w:rFonts w:asciiTheme="minorHAnsi" w:hAnsiTheme="minorHAnsi" w:cstheme="minorHAnsi"/>
                <w:sz w:val="20"/>
                <w:szCs w:val="20"/>
              </w:rPr>
            </w:pPr>
          </w:p>
          <w:p w14:paraId="0A9F2CC2" w14:textId="77777777" w:rsidR="00212170" w:rsidRDefault="00212170" w:rsidP="00864585">
            <w:pPr>
              <w:spacing w:after="0" w:line="240" w:lineRule="auto"/>
              <w:jc w:val="center"/>
              <w:rPr>
                <w:rFonts w:asciiTheme="minorHAnsi" w:hAnsiTheme="minorHAnsi" w:cstheme="minorHAnsi"/>
                <w:sz w:val="20"/>
                <w:szCs w:val="20"/>
              </w:rPr>
            </w:pPr>
          </w:p>
          <w:p w14:paraId="5B259E68" w14:textId="77777777" w:rsidR="00212170" w:rsidRDefault="00212170" w:rsidP="00864585">
            <w:pPr>
              <w:spacing w:after="0" w:line="240" w:lineRule="auto"/>
              <w:jc w:val="center"/>
              <w:rPr>
                <w:rFonts w:asciiTheme="minorHAnsi" w:hAnsiTheme="minorHAnsi" w:cstheme="minorHAnsi"/>
                <w:sz w:val="20"/>
                <w:szCs w:val="20"/>
              </w:rPr>
            </w:pPr>
          </w:p>
          <w:p w14:paraId="667DD6C8" w14:textId="77777777" w:rsidR="00212170" w:rsidRDefault="00212170" w:rsidP="00864585">
            <w:pPr>
              <w:spacing w:after="0" w:line="240" w:lineRule="auto"/>
              <w:jc w:val="center"/>
              <w:rPr>
                <w:rFonts w:asciiTheme="minorHAnsi" w:hAnsiTheme="minorHAnsi" w:cstheme="minorHAnsi"/>
                <w:sz w:val="20"/>
                <w:szCs w:val="20"/>
              </w:rPr>
            </w:pPr>
          </w:p>
          <w:p w14:paraId="6456883D" w14:textId="77777777" w:rsidR="00212170" w:rsidRDefault="00212170" w:rsidP="00864585">
            <w:pPr>
              <w:spacing w:after="0" w:line="240" w:lineRule="auto"/>
              <w:jc w:val="center"/>
              <w:rPr>
                <w:rFonts w:asciiTheme="minorHAnsi" w:hAnsiTheme="minorHAnsi" w:cstheme="minorHAnsi"/>
                <w:sz w:val="20"/>
                <w:szCs w:val="20"/>
              </w:rPr>
            </w:pPr>
          </w:p>
          <w:p w14:paraId="5B1C1CE2" w14:textId="77777777" w:rsidR="00212170" w:rsidRDefault="00212170" w:rsidP="00864585">
            <w:pPr>
              <w:spacing w:after="0" w:line="240" w:lineRule="auto"/>
              <w:jc w:val="center"/>
              <w:rPr>
                <w:rFonts w:asciiTheme="minorHAnsi" w:hAnsiTheme="minorHAnsi" w:cstheme="minorHAnsi"/>
                <w:sz w:val="20"/>
                <w:szCs w:val="20"/>
              </w:rPr>
            </w:pPr>
          </w:p>
          <w:p w14:paraId="18988026" w14:textId="77777777" w:rsidR="00212170" w:rsidRDefault="00212170" w:rsidP="00864585">
            <w:pPr>
              <w:spacing w:after="0" w:line="240" w:lineRule="auto"/>
              <w:jc w:val="center"/>
              <w:rPr>
                <w:rFonts w:asciiTheme="minorHAnsi" w:hAnsiTheme="minorHAnsi" w:cstheme="minorHAnsi"/>
                <w:sz w:val="20"/>
                <w:szCs w:val="20"/>
              </w:rPr>
            </w:pPr>
          </w:p>
          <w:p w14:paraId="11A7B0D7" w14:textId="77777777" w:rsidR="00212170" w:rsidRDefault="00212170" w:rsidP="00864585">
            <w:pPr>
              <w:spacing w:after="0" w:line="240" w:lineRule="auto"/>
              <w:jc w:val="center"/>
              <w:rPr>
                <w:rFonts w:asciiTheme="minorHAnsi" w:hAnsiTheme="minorHAnsi" w:cstheme="minorHAnsi"/>
                <w:sz w:val="20"/>
                <w:szCs w:val="20"/>
              </w:rPr>
            </w:pPr>
          </w:p>
          <w:p w14:paraId="20C43FB9" w14:textId="77777777" w:rsidR="00212170" w:rsidRDefault="00212170" w:rsidP="00864585">
            <w:pPr>
              <w:spacing w:after="0" w:line="240" w:lineRule="auto"/>
              <w:jc w:val="center"/>
              <w:rPr>
                <w:rFonts w:asciiTheme="minorHAnsi" w:hAnsiTheme="minorHAnsi" w:cstheme="minorHAnsi"/>
                <w:sz w:val="20"/>
                <w:szCs w:val="20"/>
              </w:rPr>
            </w:pPr>
          </w:p>
          <w:p w14:paraId="1936FE90" w14:textId="77777777" w:rsidR="00212170" w:rsidRPr="00212170" w:rsidRDefault="00212170" w:rsidP="00864585">
            <w:pPr>
              <w:spacing w:after="0" w:line="240" w:lineRule="auto"/>
              <w:jc w:val="center"/>
              <w:rPr>
                <w:rFonts w:asciiTheme="minorHAnsi" w:hAnsiTheme="minorHAnsi" w:cstheme="minorHAnsi"/>
                <w:sz w:val="20"/>
                <w:szCs w:val="20"/>
              </w:rPr>
            </w:pPr>
          </w:p>
          <w:p w14:paraId="194888B5" w14:textId="77777777" w:rsidR="00614512" w:rsidRPr="00212170" w:rsidRDefault="00212170" w:rsidP="00864585">
            <w:pPr>
              <w:spacing w:after="0" w:line="240" w:lineRule="auto"/>
              <w:jc w:val="center"/>
              <w:rPr>
                <w:rFonts w:asciiTheme="minorHAnsi" w:hAnsiTheme="minorHAnsi" w:cstheme="minorHAnsi"/>
                <w:sz w:val="20"/>
                <w:szCs w:val="20"/>
              </w:rPr>
            </w:pPr>
            <w:r w:rsidRPr="00212170">
              <w:rPr>
                <w:rFonts w:asciiTheme="minorHAnsi" w:hAnsiTheme="minorHAnsi" w:cstheme="minorHAnsi"/>
                <w:b/>
                <w:bCs/>
                <w:sz w:val="20"/>
              </w:rPr>
              <w:t>Appendix 1 MPH programme mapping to public health competencies.</w:t>
            </w:r>
          </w:p>
          <w:p w14:paraId="427BDE1C" w14:textId="3A67CE2B" w:rsidR="00212170" w:rsidRPr="00212170" w:rsidRDefault="00212170" w:rsidP="00212170">
            <w:pPr>
              <w:spacing w:after="0" w:line="240" w:lineRule="auto"/>
              <w:jc w:val="center"/>
              <w:rPr>
                <w:rFonts w:asciiTheme="minorHAnsi" w:hAnsiTheme="minorHAnsi" w:cstheme="minorHAnsi"/>
                <w:sz w:val="20"/>
                <w:szCs w:val="20"/>
              </w:rPr>
            </w:pPr>
            <w:r w:rsidRPr="00212170">
              <w:rPr>
                <w:rFonts w:asciiTheme="minorHAnsi" w:hAnsiTheme="minorHAnsi" w:cstheme="minorHAnsi"/>
                <w:noProof/>
                <w:sz w:val="20"/>
              </w:rPr>
              <w:drawing>
                <wp:inline distT="0" distB="0" distL="0" distR="0" wp14:anchorId="03C039D8" wp14:editId="09F7585D">
                  <wp:extent cx="6339205" cy="9082405"/>
                  <wp:effectExtent l="0" t="0" r="0" b="0"/>
                  <wp:docPr id="3" name="Picture 3" descr="Public Health Compet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ublic Health Competenci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9205" cy="9082405"/>
                          </a:xfrm>
                          <a:prstGeom prst="rect">
                            <a:avLst/>
                          </a:prstGeom>
                          <a:noFill/>
                          <a:ln>
                            <a:noFill/>
                          </a:ln>
                        </pic:spPr>
                      </pic:pic>
                    </a:graphicData>
                  </a:graphic>
                </wp:inline>
              </w:drawing>
            </w:r>
          </w:p>
        </w:tc>
      </w:tr>
    </w:tbl>
    <w:p w14:paraId="42757482" w14:textId="77777777" w:rsidR="00212170" w:rsidRPr="00212170" w:rsidRDefault="00212170">
      <w:pPr>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14512" w:rsidRPr="00212170" w14:paraId="0833A00F"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F038009" w14:textId="77777777" w:rsidR="00212170" w:rsidRPr="00212170" w:rsidRDefault="00212170" w:rsidP="00CD3576">
            <w:pPr>
              <w:pageBreakBefore/>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lastRenderedPageBreak/>
              <w:t>27c</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3453A6D2"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Options</w:t>
            </w:r>
          </w:p>
        </w:tc>
      </w:tr>
      <w:tr w:rsidR="00614512" w:rsidRPr="00212170" w14:paraId="37BA6B75"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2EE39E5"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eastAsia="Arial" w:hAnsiTheme="minorHAnsi" w:cstheme="minorHAnsi"/>
                <w:b/>
                <w:bCs/>
                <w:sz w:val="20"/>
                <w:szCs w:val="20"/>
              </w:rPr>
              <w:t xml:space="preserve">Semester 2 (Block 3) </w:t>
            </w:r>
          </w:p>
          <w:p w14:paraId="582FD40A" w14:textId="77777777" w:rsidR="00614512" w:rsidRPr="00212170" w:rsidRDefault="00212170" w:rsidP="0099542F">
            <w:pPr>
              <w:spacing w:after="0" w:line="240" w:lineRule="auto"/>
              <w:rPr>
                <w:rFonts w:asciiTheme="minorHAnsi" w:hAnsiTheme="minorHAnsi" w:cstheme="minorHAnsi"/>
                <w:sz w:val="20"/>
                <w:szCs w:val="20"/>
              </w:rPr>
            </w:pPr>
            <w:r w:rsidRPr="00212170">
              <w:rPr>
                <w:rFonts w:asciiTheme="minorHAnsi" w:eastAsia="Arial" w:hAnsiTheme="minorHAnsi" w:cstheme="minorHAnsi"/>
                <w:b/>
                <w:bCs/>
                <w:i/>
                <w:iCs/>
                <w:sz w:val="20"/>
                <w:szCs w:val="20"/>
              </w:rPr>
              <w:t>Trop726</w:t>
            </w:r>
            <w:r w:rsidRPr="00212170">
              <w:rPr>
                <w:rFonts w:asciiTheme="minorHAnsi" w:eastAsia="Arial" w:hAnsiTheme="minorHAnsi" w:cstheme="minorHAnsi"/>
                <w:sz w:val="20"/>
                <w:szCs w:val="20"/>
              </w:rPr>
              <w:t xml:space="preserve"> Global Climate Change and Health</w:t>
            </w:r>
          </w:p>
          <w:p w14:paraId="3DE67945" w14:textId="77777777" w:rsidR="00614512" w:rsidRPr="00212170" w:rsidRDefault="00212170" w:rsidP="0099542F">
            <w:pPr>
              <w:spacing w:after="0" w:line="240" w:lineRule="auto"/>
              <w:rPr>
                <w:rFonts w:asciiTheme="minorHAnsi" w:hAnsiTheme="minorHAnsi" w:cstheme="minorHAnsi"/>
                <w:sz w:val="20"/>
                <w:szCs w:val="20"/>
              </w:rPr>
            </w:pPr>
            <w:r w:rsidRPr="00212170">
              <w:rPr>
                <w:rFonts w:asciiTheme="minorHAnsi" w:eastAsia="Arial" w:hAnsiTheme="minorHAnsi" w:cstheme="minorHAnsi"/>
                <w:b/>
                <w:bCs/>
                <w:i/>
                <w:iCs/>
                <w:sz w:val="20"/>
                <w:szCs w:val="20"/>
              </w:rPr>
              <w:t xml:space="preserve">Trop727 </w:t>
            </w:r>
            <w:r w:rsidRPr="00212170">
              <w:rPr>
                <w:rFonts w:asciiTheme="minorHAnsi" w:eastAsia="Arial" w:hAnsiTheme="minorHAnsi" w:cstheme="minorHAnsi"/>
                <w:sz w:val="20"/>
                <w:szCs w:val="20"/>
              </w:rPr>
              <w:t>Applied Statistics for Health Research</w:t>
            </w:r>
          </w:p>
          <w:p w14:paraId="4DC72CA6" w14:textId="77777777" w:rsidR="00614512" w:rsidRPr="00212170" w:rsidRDefault="00212170" w:rsidP="0099542F">
            <w:pPr>
              <w:spacing w:after="0" w:line="240" w:lineRule="auto"/>
              <w:rPr>
                <w:rFonts w:asciiTheme="minorHAnsi" w:hAnsiTheme="minorHAnsi" w:cstheme="minorHAnsi"/>
                <w:sz w:val="20"/>
                <w:szCs w:val="20"/>
              </w:rPr>
            </w:pPr>
            <w:r w:rsidRPr="00212170">
              <w:rPr>
                <w:rFonts w:asciiTheme="minorHAnsi" w:eastAsia="Arial" w:hAnsiTheme="minorHAnsi" w:cstheme="minorHAnsi"/>
                <w:b/>
                <w:bCs/>
                <w:i/>
                <w:iCs/>
                <w:sz w:val="20"/>
                <w:szCs w:val="20"/>
              </w:rPr>
              <w:t>Trop729</w:t>
            </w:r>
            <w:r w:rsidRPr="00212170">
              <w:rPr>
                <w:rFonts w:asciiTheme="minorHAnsi" w:eastAsia="Arial" w:hAnsiTheme="minorHAnsi" w:cstheme="minorHAnsi"/>
                <w:sz w:val="20"/>
                <w:szCs w:val="20"/>
              </w:rPr>
              <w:t xml:space="preserve"> Sexual, Reproductive, Maternal, Newborn and Adolescent Health </w:t>
            </w:r>
          </w:p>
          <w:p w14:paraId="0306D232" w14:textId="4ED72ABC" w:rsidR="00212170" w:rsidRPr="00212170" w:rsidRDefault="00212170" w:rsidP="0099542F">
            <w:pPr>
              <w:spacing w:after="0" w:line="240" w:lineRule="auto"/>
              <w:rPr>
                <w:rFonts w:asciiTheme="minorHAnsi" w:hAnsiTheme="minorHAnsi" w:cstheme="minorHAnsi"/>
                <w:sz w:val="20"/>
                <w:szCs w:val="20"/>
              </w:rPr>
            </w:pPr>
            <w:r w:rsidRPr="00212170">
              <w:rPr>
                <w:rFonts w:asciiTheme="minorHAnsi" w:eastAsia="Arial" w:hAnsiTheme="minorHAnsi" w:cstheme="minorHAnsi"/>
                <w:b/>
                <w:bCs/>
                <w:i/>
                <w:iCs/>
                <w:sz w:val="20"/>
                <w:szCs w:val="20"/>
              </w:rPr>
              <w:t>Trop730</w:t>
            </w:r>
            <w:r w:rsidRPr="00212170">
              <w:rPr>
                <w:rFonts w:asciiTheme="minorHAnsi" w:eastAsia="Arial" w:hAnsiTheme="minorHAnsi" w:cstheme="minorHAnsi"/>
                <w:sz w:val="20"/>
                <w:szCs w:val="20"/>
              </w:rPr>
              <w:t xml:space="preserve"> Developing a Disease Control Programme</w:t>
            </w:r>
          </w:p>
        </w:tc>
      </w:tr>
    </w:tbl>
    <w:p w14:paraId="05B93031" w14:textId="77777777" w:rsidR="00212170" w:rsidRPr="00212170" w:rsidRDefault="00212170" w:rsidP="00212170">
      <w:pPr>
        <w:pStyle w:val="Heading2"/>
        <w:rPr>
          <w:rFonts w:asciiTheme="minorHAnsi" w:hAnsiTheme="minorHAnsi" w:cstheme="minorHAnsi"/>
          <w:i w:val="0"/>
          <w:iCs w:val="0"/>
          <w:sz w:val="22"/>
          <w:szCs w:val="22"/>
        </w:rPr>
      </w:pPr>
      <w:r w:rsidRPr="00212170">
        <w:rPr>
          <w:rFonts w:asciiTheme="minorHAnsi" w:hAnsiTheme="minorHAnsi" w:cstheme="minorHAnsi"/>
          <w:i w:val="0"/>
          <w:iCs w:val="0"/>
          <w:sz w:val="22"/>
          <w:szCs w:val="22"/>
        </w:rPr>
        <w:t>Part E: Learning, Teaching and Assessment Strategies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14512" w:rsidRPr="00212170" w14:paraId="748D8051"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2C7A7343"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28</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0A4924D" w14:textId="77777777" w:rsidR="00212170" w:rsidRPr="00212170" w:rsidRDefault="00212170" w:rsidP="00BD031D">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Learning, Teaching &amp; Assessment Strategy</w:t>
            </w:r>
          </w:p>
        </w:tc>
      </w:tr>
      <w:tr w:rsidR="00614512" w:rsidRPr="00212170" w14:paraId="685BF679"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73809670" w14:textId="77777777" w:rsidR="00212170" w:rsidRPr="00212170" w:rsidRDefault="00212170" w:rsidP="00212170">
            <w:pPr>
              <w:spacing w:before="120" w:after="120" w:line="240" w:lineRule="auto"/>
              <w:rPr>
                <w:rFonts w:asciiTheme="minorHAnsi" w:hAnsiTheme="minorHAnsi" w:cstheme="minorHAnsi"/>
                <w:sz w:val="20"/>
              </w:rPr>
            </w:pPr>
            <w:r w:rsidRPr="00212170">
              <w:rPr>
                <w:rFonts w:asciiTheme="minorHAnsi" w:hAnsiTheme="minorHAnsi" w:cstheme="minorHAnsi"/>
                <w:sz w:val="20"/>
              </w:rPr>
              <w:t>The L&amp;T strategy is designed to help all students express their full potential through a combination of student-centered blended learning approaches.  Lectures highlight key points and provide participants with a core knowledge base in public health.  Students are expected to enhance this core knowledge and become reflective independent learners through guided enquiry-based self-study and use of on-line materials.  To develop cognitive and intellectual skills, the programme involves discussion of key issues, analysis and interpretation of resource material and practice in applying concepts and solving public health problems.  Group work develops students’ abilities to work co-operatively, promotes creativity, provides opportunities to reflect critically and enables participants to take more responsibility for their own learning, as well as learn from each other.  Students can also take advantage of lectures and seminars given by the many distinguished researchers and policy makers who regularly visit LSTM.  The L&amp;T methods adopted reflect the diversity of the LSTM student population and an ethical and culturally sensitive approach is emphasised throughout.</w:t>
            </w:r>
          </w:p>
          <w:p w14:paraId="27184000" w14:textId="77777777" w:rsidR="00614512" w:rsidRPr="00212170" w:rsidRDefault="00212170" w:rsidP="00212170">
            <w:pPr>
              <w:spacing w:before="120" w:after="120" w:line="240" w:lineRule="auto"/>
              <w:rPr>
                <w:rFonts w:asciiTheme="minorHAnsi" w:hAnsiTheme="minorHAnsi" w:cstheme="minorHAnsi"/>
                <w:sz w:val="20"/>
              </w:rPr>
            </w:pPr>
            <w:r w:rsidRPr="00212170">
              <w:rPr>
                <w:rFonts w:asciiTheme="minorHAnsi" w:hAnsiTheme="minorHAnsi" w:cstheme="minorHAnsi"/>
                <w:sz w:val="20"/>
              </w:rPr>
              <w:t>The assessment strategy is designed to encourage the student to develop and improve on a range of skills, including synthesising and evaluating information, academic writing, numerical and IT skills, team-working, presentation skills, and time management.  Both formative and summative assessment approaches are used.  General assessment procedures, assessment criteria and regulations with respect to late submission are communicated to the students in the LSTM Masters’ Student Handbook.  Students are directed to the relevant module area in Brightspace for information relating to specific assignments.</w:t>
            </w:r>
          </w:p>
        </w:tc>
      </w:tr>
    </w:tbl>
    <w:p w14:paraId="2B0B5BD2" w14:textId="77777777" w:rsidR="00212170" w:rsidRPr="00212170" w:rsidRDefault="00212170" w:rsidP="00D37DD4">
      <w:pPr>
        <w:tabs>
          <w:tab w:val="left" w:pos="491"/>
        </w:tabs>
        <w:spacing w:after="0" w:line="240" w:lineRule="auto"/>
        <w:rPr>
          <w:rFonts w:asciiTheme="minorHAnsi" w:hAnsiTheme="minorHAnsi" w:cstheme="minorHAnsi"/>
          <w:sz w:val="20"/>
        </w:rPr>
      </w:pPr>
    </w:p>
    <w:tbl>
      <w:tblP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34"/>
        <w:gridCol w:w="10012"/>
        <w:gridCol w:w="88"/>
      </w:tblGrid>
      <w:tr w:rsidR="00614512" w:rsidRPr="00212170" w14:paraId="77BDD20E" w14:textId="77777777" w:rsidTr="00212170">
        <w:trPr>
          <w:gridAfter w:val="1"/>
          <w:wAfter w:w="88" w:type="dxa"/>
        </w:trPr>
        <w:tc>
          <w:tcPr>
            <w:tcW w:w="552" w:type="dxa"/>
            <w:tcBorders>
              <w:top w:val="nil"/>
              <w:left w:val="nil"/>
              <w:bottom w:val="single" w:sz="4" w:space="0" w:color="A6A6A6"/>
              <w:right w:val="nil"/>
            </w:tcBorders>
            <w:shd w:val="clear" w:color="auto" w:fill="auto"/>
            <w:tcMar>
              <w:top w:w="28" w:type="dxa"/>
              <w:left w:w="57" w:type="dxa"/>
              <w:bottom w:w="28" w:type="dxa"/>
              <w:right w:w="57" w:type="dxa"/>
            </w:tcMar>
          </w:tcPr>
          <w:p w14:paraId="6DCE5549" w14:textId="77777777" w:rsidR="00212170" w:rsidRPr="00212170" w:rsidRDefault="00212170" w:rsidP="00212170">
            <w:pPr>
              <w:pageBreakBefore/>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lastRenderedPageBreak/>
              <w:t>29</w:t>
            </w:r>
          </w:p>
        </w:tc>
        <w:tc>
          <w:tcPr>
            <w:tcW w:w="10246"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1FAAD519" w14:textId="77777777" w:rsidR="00212170" w:rsidRPr="00212170" w:rsidRDefault="00212170" w:rsidP="00BD031D">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Assessment Schedule</w:t>
            </w:r>
          </w:p>
        </w:tc>
      </w:tr>
      <w:tr w:rsidR="00614512" w:rsidRPr="00212170" w14:paraId="3BC88FD9" w14:textId="77777777" w:rsidTr="00212170">
        <w:trPr>
          <w:gridAfter w:val="1"/>
          <w:wAfter w:w="88" w:type="dxa"/>
        </w:trPr>
        <w:tc>
          <w:tcPr>
            <w:tcW w:w="10798" w:type="dxa"/>
            <w:gridSpan w:val="3"/>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48306935" w14:textId="77777777" w:rsidR="00212170" w:rsidRPr="00212170" w:rsidRDefault="00212170" w:rsidP="00D37DD4">
            <w:pPr>
              <w:spacing w:after="0" w:line="240" w:lineRule="auto"/>
              <w:rPr>
                <w:rFonts w:asciiTheme="minorHAnsi" w:hAnsiTheme="minorHAnsi" w:cstheme="minorHAnsi"/>
                <w:sz w:val="20"/>
              </w:rPr>
            </w:pPr>
          </w:p>
          <w:p w14:paraId="4B169114" w14:textId="76BDCC73" w:rsidR="00212170" w:rsidRPr="00212170" w:rsidRDefault="00212170" w:rsidP="00212170">
            <w:pPr>
              <w:spacing w:after="0" w:line="240" w:lineRule="auto"/>
              <w:jc w:val="center"/>
              <w:rPr>
                <w:rFonts w:asciiTheme="minorHAnsi" w:hAnsiTheme="minorHAnsi" w:cstheme="minorHAnsi"/>
                <w:sz w:val="20"/>
                <w:szCs w:val="20"/>
              </w:rPr>
            </w:pPr>
            <w:r w:rsidRPr="00212170">
              <w:rPr>
                <w:rFonts w:asciiTheme="minorHAnsi" w:hAnsiTheme="minorHAnsi" w:cstheme="minorHAnsi"/>
                <w:noProof/>
                <w:sz w:val="20"/>
              </w:rPr>
              <w:drawing>
                <wp:inline distT="0" distB="0" distL="0" distR="0" wp14:anchorId="0077B7F7" wp14:editId="261F79EF">
                  <wp:extent cx="5657215" cy="5772785"/>
                  <wp:effectExtent l="0" t="0" r="0" b="0"/>
                  <wp:docPr id="22" name="Picture 2" descr="MPH-HH 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MPH-HH Assessment Tab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7215" cy="5772785"/>
                          </a:xfrm>
                          <a:prstGeom prst="rect">
                            <a:avLst/>
                          </a:prstGeom>
                          <a:noFill/>
                          <a:ln>
                            <a:noFill/>
                          </a:ln>
                        </pic:spPr>
                      </pic:pic>
                    </a:graphicData>
                  </a:graphic>
                </wp:inline>
              </w:drawing>
            </w:r>
          </w:p>
        </w:tc>
      </w:tr>
      <w:tr w:rsidR="00614512" w:rsidRPr="00212170" w14:paraId="538C05B6" w14:textId="77777777" w:rsidTr="00212170">
        <w:tc>
          <w:tcPr>
            <w:tcW w:w="786"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662E8CDB" w14:textId="77777777" w:rsidR="00212170" w:rsidRPr="00212170" w:rsidRDefault="00212170" w:rsidP="00212170">
            <w:pPr>
              <w:spacing w:before="120"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30</w:t>
            </w:r>
          </w:p>
        </w:tc>
        <w:tc>
          <w:tcPr>
            <w:tcW w:w="10100"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22DEAC7D" w14:textId="77777777" w:rsidR="00212170" w:rsidRPr="00212170" w:rsidRDefault="00212170" w:rsidP="00212170">
            <w:pPr>
              <w:spacing w:before="120"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Pass Mark</w:t>
            </w:r>
          </w:p>
        </w:tc>
      </w:tr>
      <w:tr w:rsidR="00614512" w:rsidRPr="00212170" w14:paraId="1FEEA4F7" w14:textId="77777777" w:rsidTr="00212170">
        <w:tc>
          <w:tcPr>
            <w:tcW w:w="10886" w:type="dxa"/>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DC3E9D7" w14:textId="77777777" w:rsidR="00212170" w:rsidRPr="00212170" w:rsidRDefault="00212170" w:rsidP="00212170">
            <w:pPr>
              <w:spacing w:before="120" w:after="120" w:line="240" w:lineRule="auto"/>
              <w:rPr>
                <w:rFonts w:asciiTheme="minorHAnsi" w:hAnsiTheme="minorHAnsi" w:cstheme="minorHAnsi"/>
                <w:sz w:val="20"/>
              </w:rPr>
            </w:pPr>
            <w:r w:rsidRPr="00212170">
              <w:rPr>
                <w:rFonts w:asciiTheme="minorHAnsi" w:hAnsiTheme="minorHAnsi" w:cstheme="minorHAnsi"/>
                <w:sz w:val="20"/>
              </w:rPr>
              <w:t>The pass mark for each module is 50%.</w:t>
            </w:r>
          </w:p>
        </w:tc>
      </w:tr>
      <w:tr w:rsidR="00614512" w:rsidRPr="00212170" w14:paraId="3F1040AE" w14:textId="77777777" w:rsidTr="00212170">
        <w:tc>
          <w:tcPr>
            <w:tcW w:w="786"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0E491FB6" w14:textId="77777777" w:rsidR="00212170" w:rsidRPr="00212170" w:rsidRDefault="00212170" w:rsidP="00212170">
            <w:pPr>
              <w:spacing w:before="120"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31</w:t>
            </w:r>
          </w:p>
        </w:tc>
        <w:tc>
          <w:tcPr>
            <w:tcW w:w="10100"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26525193" w14:textId="77777777" w:rsidR="00212170" w:rsidRPr="00212170" w:rsidRDefault="00212170" w:rsidP="00212170">
            <w:pPr>
              <w:spacing w:before="120"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Compensation and Resits</w:t>
            </w:r>
          </w:p>
        </w:tc>
      </w:tr>
      <w:tr w:rsidR="00614512" w:rsidRPr="00212170" w14:paraId="49B6DE21" w14:textId="77777777" w:rsidTr="00212170">
        <w:tc>
          <w:tcPr>
            <w:tcW w:w="10886" w:type="dxa"/>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1DEE359"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hAnsiTheme="minorHAnsi" w:cstheme="minorHAnsi"/>
                <w:b/>
                <w:bCs/>
                <w:sz w:val="20"/>
              </w:rPr>
              <w:t>Compensation</w:t>
            </w:r>
          </w:p>
          <w:p w14:paraId="5EC47E1C" w14:textId="77777777" w:rsidR="00614512" w:rsidRPr="00212170" w:rsidRDefault="00212170" w:rsidP="00D37DD4">
            <w:p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Where the overall average mark in all taught modules is 50% or above, a mark of 40-49% in one module of 20 credits will be deemed compensatable. The compensation rule does not apply to postgraduate award or to stand-alone modules.  Marks for modules passed by the compensation rule will be recorded as a pass mark of 50%.</w:t>
            </w:r>
          </w:p>
          <w:p w14:paraId="74C0B556"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hAnsiTheme="minorHAnsi" w:cstheme="minorHAnsi"/>
                <w:b/>
                <w:bCs/>
                <w:sz w:val="20"/>
              </w:rPr>
              <w:t>Re-sits</w:t>
            </w:r>
          </w:p>
          <w:p w14:paraId="47C773EB" w14:textId="51DB4609" w:rsidR="00212170" w:rsidRPr="00212170" w:rsidRDefault="00212170" w:rsidP="00212170">
            <w:pPr>
              <w:spacing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Students who fail one or more modules at the first attempt will normally be offered one reassessment opportunity for each failed component. Reassessment will normally take place in the defined reassessment period, but where this is not possible, within twelve months of the failed assessment.  A failed research project may be submitted on one further occasion only, within one year of the original date of submission.  Marks achieved through reassessment will be capped at 50% for the purpose of calculating the overall average mark and determining classification for an award.  The actual mark achieved through reassessment will be the mark recorded on the transcript.  Students will not be permitted a reassessment opportunity for any module or assignment they have passed, with the aim of improving the mark, except in the case of extenuating circumstances. Further information relating to the re-sitting of examinations, including timing of re-sits, can be found in the LSTM Masters Student Handbook.</w:t>
            </w:r>
          </w:p>
        </w:tc>
      </w:tr>
      <w:tr w:rsidR="00614512" w:rsidRPr="00212170" w14:paraId="60B864AC" w14:textId="77777777" w:rsidTr="00212170">
        <w:tc>
          <w:tcPr>
            <w:tcW w:w="786" w:type="dxa"/>
            <w:gridSpan w:val="2"/>
            <w:tcBorders>
              <w:top w:val="single" w:sz="4" w:space="0" w:color="A6A6A6"/>
              <w:left w:val="nil"/>
              <w:bottom w:val="nil"/>
              <w:right w:val="nil"/>
            </w:tcBorders>
            <w:shd w:val="clear" w:color="auto" w:fill="auto"/>
            <w:tcMar>
              <w:top w:w="28" w:type="dxa"/>
              <w:left w:w="57" w:type="dxa"/>
              <w:bottom w:w="28" w:type="dxa"/>
              <w:right w:w="57" w:type="dxa"/>
            </w:tcMar>
          </w:tcPr>
          <w:p w14:paraId="07747713" w14:textId="77777777" w:rsidR="00212170" w:rsidRPr="00212170" w:rsidRDefault="00212170" w:rsidP="00D37DD4">
            <w:pPr>
              <w:spacing w:after="0" w:line="240" w:lineRule="auto"/>
              <w:jc w:val="right"/>
              <w:rPr>
                <w:rFonts w:asciiTheme="minorHAnsi" w:hAnsiTheme="minorHAnsi" w:cstheme="minorHAnsi"/>
                <w:sz w:val="20"/>
              </w:rPr>
            </w:pPr>
          </w:p>
        </w:tc>
        <w:tc>
          <w:tcPr>
            <w:tcW w:w="10100" w:type="dxa"/>
            <w:gridSpan w:val="2"/>
            <w:tcBorders>
              <w:top w:val="single" w:sz="4" w:space="0" w:color="A6A6A6"/>
              <w:left w:val="nil"/>
              <w:bottom w:val="nil"/>
              <w:right w:val="nil"/>
            </w:tcBorders>
            <w:shd w:val="clear" w:color="auto" w:fill="auto"/>
            <w:tcMar>
              <w:top w:w="28" w:type="dxa"/>
              <w:left w:w="57" w:type="dxa"/>
              <w:bottom w:w="28" w:type="dxa"/>
              <w:right w:w="57" w:type="dxa"/>
            </w:tcMar>
          </w:tcPr>
          <w:p w14:paraId="1A08DAA3" w14:textId="77777777" w:rsidR="00212170" w:rsidRPr="00212170" w:rsidRDefault="00212170" w:rsidP="00D37DD4">
            <w:pPr>
              <w:spacing w:after="0" w:line="240" w:lineRule="auto"/>
              <w:rPr>
                <w:rFonts w:asciiTheme="minorHAnsi" w:hAnsiTheme="minorHAnsi" w:cstheme="minorHAnsi"/>
                <w:sz w:val="20"/>
              </w:rPr>
            </w:pPr>
          </w:p>
        </w:tc>
      </w:tr>
      <w:tr w:rsidR="00614512" w:rsidRPr="00212170" w14:paraId="45CF51B9" w14:textId="77777777" w:rsidTr="00212170">
        <w:tc>
          <w:tcPr>
            <w:tcW w:w="786"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1CFB02F0" w14:textId="77777777" w:rsidR="00212170" w:rsidRPr="00212170" w:rsidRDefault="00212170" w:rsidP="00212170">
            <w:pPr>
              <w:spacing w:before="120"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lastRenderedPageBreak/>
              <w:t>32</w:t>
            </w:r>
          </w:p>
        </w:tc>
        <w:tc>
          <w:tcPr>
            <w:tcW w:w="10100" w:type="dxa"/>
            <w:gridSpan w:val="2"/>
            <w:tcBorders>
              <w:top w:val="nil"/>
              <w:left w:val="nil"/>
              <w:bottom w:val="single" w:sz="4" w:space="0" w:color="A6A6A6"/>
              <w:right w:val="nil"/>
            </w:tcBorders>
            <w:shd w:val="clear" w:color="auto" w:fill="auto"/>
            <w:tcMar>
              <w:top w:w="28" w:type="dxa"/>
              <w:left w:w="57" w:type="dxa"/>
              <w:bottom w:w="28" w:type="dxa"/>
              <w:right w:w="57" w:type="dxa"/>
            </w:tcMar>
          </w:tcPr>
          <w:p w14:paraId="64AC6C9B"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Marking Descriptors</w:t>
            </w:r>
          </w:p>
        </w:tc>
      </w:tr>
      <w:tr w:rsidR="00614512" w:rsidRPr="00212170" w14:paraId="4D5C8D38" w14:textId="77777777" w:rsidTr="00212170">
        <w:tc>
          <w:tcPr>
            <w:tcW w:w="10886" w:type="dxa"/>
            <w:gridSpan w:val="4"/>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D7EF0C3" w14:textId="77777777" w:rsidR="00212170" w:rsidRPr="00212170" w:rsidRDefault="00212170" w:rsidP="00E87B81">
            <w:pPr>
              <w:spacing w:after="0" w:line="240" w:lineRule="auto"/>
              <w:rPr>
                <w:rFonts w:asciiTheme="minorHAnsi" w:hAnsiTheme="minorHAnsi" w:cstheme="minorHAnsi"/>
                <w:sz w:val="20"/>
              </w:rPr>
            </w:pPr>
          </w:p>
          <w:p w14:paraId="49E7386A" w14:textId="496A0149" w:rsidR="00614512" w:rsidRPr="00212170" w:rsidRDefault="00212170" w:rsidP="00E87B81">
            <w:pPr>
              <w:spacing w:after="0" w:line="240" w:lineRule="auto"/>
              <w:rPr>
                <w:rFonts w:asciiTheme="minorHAnsi" w:hAnsiTheme="minorHAnsi" w:cstheme="minorHAnsi"/>
                <w:sz w:val="20"/>
                <w:szCs w:val="20"/>
              </w:rPr>
            </w:pPr>
            <w:r w:rsidRPr="00212170">
              <w:rPr>
                <w:rFonts w:asciiTheme="minorHAnsi" w:hAnsiTheme="minorHAnsi" w:cstheme="minorHAnsi"/>
                <w:noProof/>
                <w:sz w:val="20"/>
              </w:rPr>
              <w:drawing>
                <wp:inline distT="0" distB="0" distL="0" distR="0" wp14:anchorId="0BD91D74" wp14:editId="0BDB3DD9">
                  <wp:extent cx="5411470" cy="6018530"/>
                  <wp:effectExtent l="0" t="0" r="0" b="0"/>
                  <wp:docPr id="21" name="Picture 1" descr="Marking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Marking Descripto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1470" cy="6018530"/>
                          </a:xfrm>
                          <a:prstGeom prst="rect">
                            <a:avLst/>
                          </a:prstGeom>
                          <a:noFill/>
                          <a:ln>
                            <a:noFill/>
                          </a:ln>
                        </pic:spPr>
                      </pic:pic>
                    </a:graphicData>
                  </a:graphic>
                </wp:inline>
              </w:drawing>
            </w:r>
          </w:p>
          <w:p w14:paraId="3AC5B279" w14:textId="77777777" w:rsidR="00212170" w:rsidRPr="00212170" w:rsidRDefault="00212170" w:rsidP="00E87B81">
            <w:pPr>
              <w:spacing w:after="0" w:line="240" w:lineRule="auto"/>
              <w:rPr>
                <w:rFonts w:asciiTheme="minorHAnsi" w:hAnsiTheme="minorHAnsi" w:cstheme="minorHAnsi"/>
                <w:sz w:val="20"/>
              </w:rPr>
            </w:pPr>
          </w:p>
        </w:tc>
      </w:tr>
    </w:tbl>
    <w:p w14:paraId="72A27F33" w14:textId="77777777" w:rsidR="00212170" w:rsidRPr="00212170" w:rsidRDefault="00212170">
      <w:pPr>
        <w:rPr>
          <w:rFonts w:asciiTheme="minorHAnsi" w:hAnsiTheme="minorHAnsi" w:cstheme="minorHAnsi"/>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0277"/>
      </w:tblGrid>
      <w:tr w:rsidR="00614512" w:rsidRPr="00212170" w14:paraId="511BAD16" w14:textId="77777777" w:rsidTr="00C373E0">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5EF6A9E8" w14:textId="77777777" w:rsidR="00212170" w:rsidRPr="00212170" w:rsidRDefault="00212170" w:rsidP="00864585">
            <w:pPr>
              <w:pageBreakBefore/>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lastRenderedPageBreak/>
              <w:t>33</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37E11627"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Final Award and Alternative Qualifications</w:t>
            </w:r>
          </w:p>
        </w:tc>
      </w:tr>
      <w:tr w:rsidR="00614512" w:rsidRPr="00212170" w14:paraId="3AC1B419" w14:textId="77777777" w:rsidTr="00C373E0">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4716B6"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eastAsia="Arial" w:hAnsiTheme="minorHAnsi" w:cstheme="minorHAnsi"/>
                <w:b/>
                <w:bCs/>
                <w:sz w:val="20"/>
                <w:szCs w:val="20"/>
              </w:rPr>
              <w:t>Final Award</w:t>
            </w:r>
          </w:p>
          <w:p w14:paraId="363F03BB" w14:textId="77777777" w:rsidR="00614512" w:rsidRPr="00212170" w:rsidRDefault="00212170" w:rsidP="00212170">
            <w:pPr>
              <w:spacing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Students who attend for a minimum period of 12 months of full-time study, and who achieve a minimum of 180 credit points at FHEQ level 7, and successfully complete a dissertation/research project worth 60 credits will be eligible for the award of a Master’s degree. To be awarded the Master of Public Health ((Humanitarian Health ), credits must include all core modules and a dissertation in Public Health applied in the area of humanitarian health.</w:t>
            </w:r>
          </w:p>
          <w:p w14:paraId="65072D81"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Students who attend for a minimum period of 30 weeks of full-time study, and who achieve a minimum of 120 credit points at FHEQ level 7, will be eligible for the award of a Postgraduate Diploma. A Postgraduate Diploma shall be comprised either of all taught modules if an entry award, or may include the 60 credit research project module if an exit award. To be awarded the Postgraduate Diploma Public Health (Humanitarian Health), as an </w:t>
            </w:r>
            <w:r w:rsidRPr="00212170">
              <w:rPr>
                <w:rFonts w:asciiTheme="minorHAnsi" w:eastAsia="Arial" w:hAnsiTheme="minorHAnsi" w:cstheme="minorHAnsi"/>
                <w:i/>
                <w:iCs/>
                <w:sz w:val="20"/>
                <w:szCs w:val="20"/>
              </w:rPr>
              <w:t>entry award,</w:t>
            </w:r>
            <w:r w:rsidRPr="00212170">
              <w:rPr>
                <w:rFonts w:asciiTheme="minorHAnsi" w:eastAsia="Arial" w:hAnsiTheme="minorHAnsi" w:cstheme="minorHAnsi"/>
                <w:sz w:val="20"/>
                <w:szCs w:val="20"/>
              </w:rPr>
              <w:t xml:space="preserve"> candidates must achieve 120 credits from the taught component of the Master of Public Health programme to include </w:t>
            </w:r>
            <w:r w:rsidRPr="00212170">
              <w:rPr>
                <w:rFonts w:asciiTheme="minorHAnsi" w:eastAsia="Arial" w:hAnsiTheme="minorHAnsi" w:cstheme="minorHAnsi"/>
                <w:b/>
                <w:bCs/>
                <w:sz w:val="20"/>
                <w:szCs w:val="20"/>
              </w:rPr>
              <w:t>Trop718:</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The Practice of Humanitarian Relief</w:t>
            </w:r>
            <w:r w:rsidRPr="00212170">
              <w:rPr>
                <w:rFonts w:asciiTheme="minorHAnsi" w:eastAsia="Arial" w:hAnsiTheme="minorHAnsi" w:cstheme="minorHAnsi"/>
                <w:sz w:val="20"/>
                <w:szCs w:val="20"/>
              </w:rPr>
              <w:t xml:space="preserve"> and two other core modules, with the exception of </w:t>
            </w:r>
            <w:r w:rsidRPr="00212170">
              <w:rPr>
                <w:rFonts w:asciiTheme="minorHAnsi" w:eastAsia="Arial" w:hAnsiTheme="minorHAnsi" w:cstheme="minorHAnsi"/>
                <w:b/>
                <w:bCs/>
                <w:sz w:val="20"/>
                <w:szCs w:val="20"/>
              </w:rPr>
              <w:t>Trop700</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Scientific and Professional Skills</w:t>
            </w:r>
            <w:r w:rsidRPr="00212170">
              <w:rPr>
                <w:rFonts w:asciiTheme="minorHAnsi" w:eastAsia="Arial" w:hAnsiTheme="minorHAnsi" w:cstheme="minorHAnsi"/>
                <w:sz w:val="20"/>
                <w:szCs w:val="20"/>
              </w:rPr>
              <w:t xml:space="preserve">. An exit award that includes the dissertation project should also include </w:t>
            </w:r>
            <w:r w:rsidRPr="00212170">
              <w:rPr>
                <w:rFonts w:asciiTheme="minorHAnsi" w:eastAsia="Arial" w:hAnsiTheme="minorHAnsi" w:cstheme="minorHAnsi"/>
                <w:b/>
                <w:bCs/>
                <w:sz w:val="20"/>
                <w:szCs w:val="20"/>
              </w:rPr>
              <w:t>Trop718:</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The Practice of Humanitarian Relief.</w:t>
            </w:r>
          </w:p>
          <w:p w14:paraId="7022E391"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Students who attend for a minimum period of 15 weeks full-time study, and who achieve a minimum of 60 credit points at FHEQ level 7, will be eligible for the award of a Postgraduate Certificate. To be awarded the Postgraduate Certificate Public Health (Humanitarian Health), the credits achieved must include </w:t>
            </w:r>
            <w:r w:rsidRPr="00212170">
              <w:rPr>
                <w:rFonts w:asciiTheme="minorHAnsi" w:eastAsia="Arial" w:hAnsiTheme="minorHAnsi" w:cstheme="minorHAnsi"/>
                <w:b/>
                <w:bCs/>
                <w:sz w:val="20"/>
                <w:szCs w:val="20"/>
              </w:rPr>
              <w:t>Trop718:</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The Practice of Humanitarian Relief</w:t>
            </w:r>
            <w:r w:rsidRPr="00212170">
              <w:rPr>
                <w:rFonts w:asciiTheme="minorHAnsi" w:eastAsia="Arial" w:hAnsiTheme="minorHAnsi" w:cstheme="minorHAnsi"/>
                <w:sz w:val="20"/>
                <w:szCs w:val="20"/>
              </w:rPr>
              <w:t xml:space="preserve"> and two other core modules, with the exception of </w:t>
            </w:r>
            <w:r w:rsidRPr="00212170">
              <w:rPr>
                <w:rFonts w:asciiTheme="minorHAnsi" w:eastAsia="Arial" w:hAnsiTheme="minorHAnsi" w:cstheme="minorHAnsi"/>
                <w:b/>
                <w:bCs/>
                <w:sz w:val="20"/>
                <w:szCs w:val="20"/>
              </w:rPr>
              <w:t>Trop700</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Scientific and Professional Skills</w:t>
            </w:r>
            <w:r w:rsidRPr="00212170">
              <w:rPr>
                <w:rFonts w:asciiTheme="minorHAnsi" w:eastAsia="Arial" w:hAnsiTheme="minorHAnsi" w:cstheme="minorHAnsi"/>
                <w:sz w:val="20"/>
                <w:szCs w:val="20"/>
              </w:rPr>
              <w:t>.</w:t>
            </w:r>
          </w:p>
          <w:p w14:paraId="463E4F1C"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A mark of Merit or Distinction will be awarded according to the criteria below. A Merit or Distinction may be awarded if a student has failed and then passed on re-sit any credit that counts towards the final award during the relevant period of study at LSTM. However, marks are capped at 50% for the purposes of calculating the award. Marks achieved in modules which are passed under the compensation rule may also be counted towards a Merit or Distinction. It should be noted that students who register on the MPH-HH, but who exit with a lower award, will be eligible for a Merit or Distinction for the lower award, provided the student meets the criteria outlined below:</w:t>
            </w:r>
          </w:p>
          <w:p w14:paraId="132E2645"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For a Master’s degree with Distinction a student must achieve: </w:t>
            </w:r>
          </w:p>
          <w:p w14:paraId="6C7EDEE9" w14:textId="361C678B" w:rsidR="00614512" w:rsidRPr="00212170" w:rsidRDefault="00212170" w:rsidP="00212170">
            <w:pPr>
              <w:numPr>
                <w:ilvl w:val="0"/>
                <w:numId w:val="4"/>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An overall average of at least 70% across all modules, </w:t>
            </w:r>
            <w:r w:rsidRPr="00212170">
              <w:rPr>
                <w:rFonts w:asciiTheme="minorHAnsi" w:eastAsia="Arial" w:hAnsiTheme="minorHAnsi" w:cstheme="minorHAnsi"/>
                <w:b/>
                <w:bCs/>
                <w:i/>
                <w:iCs/>
                <w:sz w:val="20"/>
                <w:szCs w:val="20"/>
              </w:rPr>
              <w:t>and</w:t>
            </w:r>
          </w:p>
          <w:p w14:paraId="5A3A732D" w14:textId="1168EE5C" w:rsidR="00614512" w:rsidRPr="00212170" w:rsidRDefault="00212170" w:rsidP="00212170">
            <w:pPr>
              <w:numPr>
                <w:ilvl w:val="0"/>
                <w:numId w:val="4"/>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A Distinction grade for the dissertation; </w:t>
            </w:r>
            <w:r w:rsidRPr="00212170">
              <w:rPr>
                <w:rFonts w:asciiTheme="minorHAnsi" w:eastAsia="Arial" w:hAnsiTheme="minorHAnsi" w:cstheme="minorHAnsi"/>
                <w:b/>
                <w:bCs/>
                <w:i/>
                <w:iCs/>
                <w:sz w:val="20"/>
                <w:szCs w:val="20"/>
              </w:rPr>
              <w:t>or</w:t>
            </w:r>
          </w:p>
          <w:p w14:paraId="0F6159CC" w14:textId="018CF932" w:rsidR="00614512" w:rsidRPr="00212170" w:rsidRDefault="00212170" w:rsidP="00212170">
            <w:pPr>
              <w:numPr>
                <w:ilvl w:val="0"/>
                <w:numId w:val="4"/>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a Distinction grade for the average of the taught modules.</w:t>
            </w:r>
          </w:p>
          <w:p w14:paraId="24BE8F6C"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For a Postgraduate Diploma with Distinction a student must achieve: </w:t>
            </w:r>
          </w:p>
          <w:p w14:paraId="3D90F16F" w14:textId="6FC66598" w:rsidR="00614512" w:rsidRPr="00212170" w:rsidRDefault="00212170" w:rsidP="00212170">
            <w:pPr>
              <w:numPr>
                <w:ilvl w:val="0"/>
                <w:numId w:val="6"/>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An overall average mark of at least 70% in 120 credits of modules, which can be made up of the taught modules alone or taught modules and the dissertation (120 Credits).</w:t>
            </w:r>
          </w:p>
          <w:p w14:paraId="7C8B08EF"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For a Postgraduate Certificate with Distinction a student must achieve: </w:t>
            </w:r>
          </w:p>
          <w:p w14:paraId="7CE2C250" w14:textId="1A978378" w:rsidR="00614512" w:rsidRPr="00212170" w:rsidRDefault="00212170" w:rsidP="00212170">
            <w:pPr>
              <w:numPr>
                <w:ilvl w:val="0"/>
                <w:numId w:val="6"/>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an overall average mark of at least 70% in 60 credits of taught modules</w:t>
            </w:r>
          </w:p>
          <w:p w14:paraId="22458341"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For a Master’s degree with Merit a student must achieve: </w:t>
            </w:r>
          </w:p>
          <w:p w14:paraId="5FC928C2" w14:textId="144B8421" w:rsidR="00614512" w:rsidRPr="00212170" w:rsidRDefault="00212170" w:rsidP="00212170">
            <w:pPr>
              <w:numPr>
                <w:ilvl w:val="0"/>
                <w:numId w:val="7"/>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An overall average of at least 60% across all modules, </w:t>
            </w:r>
            <w:r w:rsidRPr="00212170">
              <w:rPr>
                <w:rFonts w:asciiTheme="minorHAnsi" w:eastAsia="Arial" w:hAnsiTheme="minorHAnsi" w:cstheme="minorHAnsi"/>
                <w:b/>
                <w:bCs/>
                <w:i/>
                <w:iCs/>
                <w:sz w:val="20"/>
                <w:szCs w:val="20"/>
              </w:rPr>
              <w:t>and</w:t>
            </w:r>
          </w:p>
          <w:p w14:paraId="432D73A4" w14:textId="301897BE" w:rsidR="00614512" w:rsidRPr="00212170" w:rsidRDefault="00212170" w:rsidP="00212170">
            <w:pPr>
              <w:numPr>
                <w:ilvl w:val="0"/>
                <w:numId w:val="7"/>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A Merit grade for the dissertation; </w:t>
            </w:r>
            <w:r w:rsidRPr="00212170">
              <w:rPr>
                <w:rFonts w:asciiTheme="minorHAnsi" w:eastAsia="Arial" w:hAnsiTheme="minorHAnsi" w:cstheme="minorHAnsi"/>
                <w:b/>
                <w:bCs/>
                <w:i/>
                <w:iCs/>
                <w:sz w:val="20"/>
                <w:szCs w:val="20"/>
              </w:rPr>
              <w:t>or</w:t>
            </w:r>
          </w:p>
          <w:p w14:paraId="41BA3A43" w14:textId="3A821EE1" w:rsidR="00614512" w:rsidRPr="00212170" w:rsidRDefault="00212170" w:rsidP="00212170">
            <w:pPr>
              <w:numPr>
                <w:ilvl w:val="0"/>
                <w:numId w:val="7"/>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a Merit grade for the average of the taught modules.</w:t>
            </w:r>
          </w:p>
          <w:p w14:paraId="2059F475"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For a Postgraduate Diploma with Merit a student must achieve: </w:t>
            </w:r>
          </w:p>
          <w:p w14:paraId="3603F75C" w14:textId="715CF498" w:rsidR="00614512" w:rsidRPr="00212170" w:rsidRDefault="00212170" w:rsidP="00212170">
            <w:pPr>
              <w:numPr>
                <w:ilvl w:val="0"/>
                <w:numId w:val="8"/>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An overall average mark of at least 60% in 120 credits of modules, which can be made up of the taught modules alone or taught modules and the dissertation (120 Credits).</w:t>
            </w:r>
          </w:p>
          <w:p w14:paraId="51354981" w14:textId="77777777" w:rsidR="00614512" w:rsidRPr="00212170" w:rsidRDefault="00212170" w:rsidP="00212170">
            <w:pPr>
              <w:spacing w:before="120"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For a Postgraduate Certificate with Merit a student must achieve: </w:t>
            </w:r>
          </w:p>
          <w:p w14:paraId="0451C5D7" w14:textId="6AD44B7E" w:rsidR="00614512" w:rsidRPr="00212170" w:rsidRDefault="00212170" w:rsidP="00212170">
            <w:pPr>
              <w:numPr>
                <w:ilvl w:val="1"/>
                <w:numId w:val="6"/>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an overall average mark of at least 60% in 60 credits of taught modules</w:t>
            </w:r>
          </w:p>
          <w:p w14:paraId="501F72C4"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Average marks falling up to 2% below any grade boundary are deemed to be borderline cases. In these cases, the award is determined by consideration of the profile of marks across all taught modules. To be awarded the higher grade, at least 50% of the taught credits must be at the higher grade.</w:t>
            </w:r>
          </w:p>
          <w:p w14:paraId="6182A2BE"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Students who take modules on a stand-alone basis will become eligible for an award with Distinction or Merit where they:</w:t>
            </w:r>
          </w:p>
          <w:p w14:paraId="7AE107F2" w14:textId="5D245E74" w:rsidR="00614512" w:rsidRPr="00212170" w:rsidRDefault="00212170" w:rsidP="00D37DD4">
            <w:pPr>
              <w:numPr>
                <w:ilvl w:val="2"/>
                <w:numId w:val="8"/>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Subsequently register for a programme of study which leads to an award and successfully complete the required credit through the study of appropriate modules as defined in the programme specification </w:t>
            </w:r>
            <w:r w:rsidRPr="00212170">
              <w:rPr>
                <w:rFonts w:asciiTheme="minorHAnsi" w:eastAsia="Arial" w:hAnsiTheme="minorHAnsi" w:cstheme="minorHAnsi"/>
                <w:b/>
                <w:bCs/>
                <w:i/>
                <w:iCs/>
                <w:sz w:val="20"/>
                <w:szCs w:val="20"/>
              </w:rPr>
              <w:t>or</w:t>
            </w:r>
            <w:r w:rsidRPr="00212170">
              <w:rPr>
                <w:rFonts w:asciiTheme="minorHAnsi" w:eastAsia="Arial" w:hAnsiTheme="minorHAnsi" w:cstheme="minorHAnsi"/>
                <w:sz w:val="20"/>
                <w:szCs w:val="20"/>
              </w:rPr>
              <w:t xml:space="preserve"> accumulate sufficient credit for an unnamed award in accordance with an approved programme of study.</w:t>
            </w:r>
          </w:p>
          <w:p w14:paraId="25FAC215"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Where a student has successfully completed modules which exceed the required credit for the award the calculation of the overall average mark and determination of classification will be based on the modules with the higher marks.</w:t>
            </w:r>
          </w:p>
          <w:p w14:paraId="1FF45A26" w14:textId="77777777" w:rsidR="00614512" w:rsidRPr="00212170" w:rsidRDefault="00212170" w:rsidP="00212170">
            <w:pPr>
              <w:spacing w:before="240" w:after="0" w:line="240" w:lineRule="auto"/>
              <w:rPr>
                <w:rFonts w:asciiTheme="minorHAnsi" w:hAnsiTheme="minorHAnsi" w:cstheme="minorHAnsi"/>
                <w:sz w:val="20"/>
                <w:szCs w:val="20"/>
              </w:rPr>
            </w:pPr>
            <w:r w:rsidRPr="00212170">
              <w:rPr>
                <w:rFonts w:asciiTheme="minorHAnsi" w:eastAsia="Arial" w:hAnsiTheme="minorHAnsi" w:cstheme="minorHAnsi"/>
                <w:b/>
                <w:bCs/>
                <w:sz w:val="20"/>
                <w:szCs w:val="20"/>
              </w:rPr>
              <w:t>Criteria for the award of an alternative qualification</w:t>
            </w:r>
          </w:p>
          <w:p w14:paraId="7C333852" w14:textId="77777777" w:rsidR="00614512" w:rsidRPr="00212170" w:rsidRDefault="00212170" w:rsidP="00D37DD4">
            <w:p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If a student fails to meet the criteria for the award of a Master’s degree or a Postgraduate Diploma, or is unable to complete the programme he or she registered for, they may be eligible for the award of one of the following as an exit qualification:</w:t>
            </w:r>
          </w:p>
          <w:p w14:paraId="54049DCB" w14:textId="77777777" w:rsidR="00614512" w:rsidRPr="00212170" w:rsidRDefault="00212170" w:rsidP="00212170">
            <w:pPr>
              <w:numPr>
                <w:ilvl w:val="0"/>
                <w:numId w:val="1"/>
              </w:numPr>
              <w:spacing w:before="120" w:after="0" w:line="240" w:lineRule="auto"/>
              <w:ind w:hanging="193"/>
              <w:rPr>
                <w:rFonts w:asciiTheme="minorHAnsi" w:hAnsiTheme="minorHAnsi" w:cstheme="minorHAnsi"/>
                <w:sz w:val="20"/>
                <w:szCs w:val="20"/>
              </w:rPr>
            </w:pPr>
            <w:r w:rsidRPr="00212170">
              <w:rPr>
                <w:rFonts w:asciiTheme="minorHAnsi" w:eastAsia="Arial" w:hAnsiTheme="minorHAnsi" w:cstheme="minorHAnsi"/>
                <w:b/>
                <w:bCs/>
                <w:sz w:val="20"/>
                <w:szCs w:val="20"/>
              </w:rPr>
              <w:lastRenderedPageBreak/>
              <w:t xml:space="preserve">Postgraduate Diploma Public Health (Humanitarian Health) </w:t>
            </w:r>
            <w:r w:rsidRPr="00212170">
              <w:rPr>
                <w:rFonts w:asciiTheme="minorHAnsi" w:eastAsia="Arial" w:hAnsiTheme="minorHAnsi" w:cstheme="minorHAnsi"/>
                <w:sz w:val="20"/>
                <w:szCs w:val="20"/>
              </w:rPr>
              <w:t xml:space="preserve">will be awarded to students who have previously registered for the Master’s degree provided that the student has achieved a minimum of 120 credits. The 120 credits </w:t>
            </w:r>
            <w:r w:rsidRPr="00212170">
              <w:rPr>
                <w:rFonts w:asciiTheme="minorHAnsi" w:eastAsia="Arial" w:hAnsiTheme="minorHAnsi" w:cstheme="minorHAnsi"/>
                <w:b/>
                <w:bCs/>
                <w:i/>
                <w:iCs/>
                <w:sz w:val="20"/>
                <w:szCs w:val="20"/>
              </w:rPr>
              <w:t>may</w:t>
            </w:r>
            <w:r w:rsidRPr="00212170">
              <w:rPr>
                <w:rFonts w:asciiTheme="minorHAnsi" w:eastAsia="Arial" w:hAnsiTheme="minorHAnsi" w:cstheme="minorHAnsi"/>
                <w:sz w:val="20"/>
                <w:szCs w:val="20"/>
              </w:rPr>
              <w:t xml:space="preserve"> include dissertation credits to the value of 60 credits. To qualify for a Postgraduate Certificate Public Health (Humanitarian Health), the credits achieved must include </w:t>
            </w:r>
            <w:r w:rsidRPr="00212170">
              <w:rPr>
                <w:rFonts w:asciiTheme="minorHAnsi" w:eastAsia="Arial" w:hAnsiTheme="minorHAnsi" w:cstheme="minorHAnsi"/>
                <w:b/>
                <w:bCs/>
                <w:sz w:val="20"/>
                <w:szCs w:val="20"/>
              </w:rPr>
              <w:t>Trop718:</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The Practice of Humanitarian Relief</w:t>
            </w:r>
            <w:r w:rsidRPr="00212170">
              <w:rPr>
                <w:rFonts w:asciiTheme="minorHAnsi" w:eastAsia="Arial" w:hAnsiTheme="minorHAnsi" w:cstheme="minorHAnsi"/>
                <w:sz w:val="20"/>
                <w:szCs w:val="20"/>
              </w:rPr>
              <w:t xml:space="preserve"> and two other core modules, with the exception of </w:t>
            </w:r>
            <w:r w:rsidRPr="00212170">
              <w:rPr>
                <w:rFonts w:asciiTheme="minorHAnsi" w:eastAsia="Arial" w:hAnsiTheme="minorHAnsi" w:cstheme="minorHAnsi"/>
                <w:b/>
                <w:bCs/>
                <w:sz w:val="20"/>
                <w:szCs w:val="20"/>
              </w:rPr>
              <w:t>Trop700</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Scientific and Professional Skills</w:t>
            </w:r>
            <w:r w:rsidRPr="00212170">
              <w:rPr>
                <w:rFonts w:asciiTheme="minorHAnsi" w:eastAsia="Arial" w:hAnsiTheme="minorHAnsi" w:cstheme="minorHAnsi"/>
                <w:sz w:val="20"/>
                <w:szCs w:val="20"/>
              </w:rPr>
              <w:t>. Students who exit without having achieved the core modules may be eligible for an unnamed Postgraduate Diploma.</w:t>
            </w:r>
          </w:p>
          <w:p w14:paraId="6C2DF94B" w14:textId="3F457018" w:rsidR="00212170" w:rsidRPr="00212170" w:rsidRDefault="00212170" w:rsidP="00D37DD4">
            <w:pPr>
              <w:numPr>
                <w:ilvl w:val="0"/>
                <w:numId w:val="1"/>
              </w:numPr>
              <w:spacing w:before="120" w:after="0" w:line="240" w:lineRule="auto"/>
              <w:ind w:hanging="193"/>
              <w:rPr>
                <w:rFonts w:asciiTheme="minorHAnsi" w:hAnsiTheme="minorHAnsi" w:cstheme="minorHAnsi"/>
                <w:sz w:val="20"/>
                <w:szCs w:val="20"/>
              </w:rPr>
            </w:pPr>
            <w:r w:rsidRPr="00212170">
              <w:rPr>
                <w:rFonts w:asciiTheme="minorHAnsi" w:eastAsia="Arial" w:hAnsiTheme="minorHAnsi" w:cstheme="minorHAnsi"/>
                <w:b/>
                <w:bCs/>
                <w:sz w:val="20"/>
                <w:szCs w:val="20"/>
              </w:rPr>
              <w:t>Postgraduate Certificate Public Health</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b/>
                <w:bCs/>
                <w:sz w:val="20"/>
                <w:szCs w:val="20"/>
              </w:rPr>
              <w:t>(International)</w:t>
            </w:r>
            <w:r w:rsidRPr="00212170">
              <w:rPr>
                <w:rFonts w:asciiTheme="minorHAnsi" w:eastAsia="Arial" w:hAnsiTheme="minorHAnsi" w:cstheme="minorHAnsi"/>
                <w:sz w:val="20"/>
                <w:szCs w:val="20"/>
              </w:rPr>
              <w:t xml:space="preserve"> will be awarded to students who have previously registered for the Master’s Degree or the Postgraduate Diploma of 60 credits. The credit </w:t>
            </w:r>
            <w:r w:rsidRPr="00212170">
              <w:rPr>
                <w:rFonts w:asciiTheme="minorHAnsi" w:eastAsia="Arial" w:hAnsiTheme="minorHAnsi" w:cstheme="minorHAnsi"/>
                <w:b/>
                <w:bCs/>
                <w:i/>
                <w:iCs/>
                <w:sz w:val="20"/>
                <w:szCs w:val="20"/>
              </w:rPr>
              <w:t>may not</w:t>
            </w:r>
            <w:r w:rsidRPr="00212170">
              <w:rPr>
                <w:rFonts w:asciiTheme="minorHAnsi" w:eastAsia="Arial" w:hAnsiTheme="minorHAnsi" w:cstheme="minorHAnsi"/>
                <w:sz w:val="20"/>
                <w:szCs w:val="20"/>
              </w:rPr>
              <w:t xml:space="preserve"> include any dissertation credits. To qualify for the Postgraduate Certificate Public Health (Humanitarian Health) the credits achieved must include </w:t>
            </w:r>
            <w:r w:rsidRPr="00212170">
              <w:rPr>
                <w:rFonts w:asciiTheme="minorHAnsi" w:eastAsia="Arial" w:hAnsiTheme="minorHAnsi" w:cstheme="minorHAnsi"/>
                <w:b/>
                <w:bCs/>
                <w:sz w:val="20"/>
                <w:szCs w:val="20"/>
              </w:rPr>
              <w:t>Trop718:</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The Practice of Humanitarian Relief</w:t>
            </w:r>
            <w:r w:rsidRPr="00212170">
              <w:rPr>
                <w:rFonts w:asciiTheme="minorHAnsi" w:eastAsia="Arial" w:hAnsiTheme="minorHAnsi" w:cstheme="minorHAnsi"/>
                <w:sz w:val="20"/>
                <w:szCs w:val="20"/>
              </w:rPr>
              <w:t xml:space="preserve"> and two other core modules, with the exception of </w:t>
            </w:r>
            <w:r w:rsidRPr="00212170">
              <w:rPr>
                <w:rFonts w:asciiTheme="minorHAnsi" w:eastAsia="Arial" w:hAnsiTheme="minorHAnsi" w:cstheme="minorHAnsi"/>
                <w:b/>
                <w:bCs/>
                <w:sz w:val="20"/>
                <w:szCs w:val="20"/>
              </w:rPr>
              <w:t>Trop700</w:t>
            </w:r>
            <w:r w:rsidRPr="00212170">
              <w:rPr>
                <w:rFonts w:asciiTheme="minorHAnsi" w:eastAsia="Arial" w:hAnsiTheme="minorHAnsi" w:cstheme="minorHAnsi"/>
                <w:sz w:val="20"/>
                <w:szCs w:val="20"/>
              </w:rPr>
              <w:t xml:space="preserve">: </w:t>
            </w:r>
            <w:r w:rsidRPr="00212170">
              <w:rPr>
                <w:rFonts w:asciiTheme="minorHAnsi" w:eastAsia="Arial" w:hAnsiTheme="minorHAnsi" w:cstheme="minorHAnsi"/>
                <w:i/>
                <w:iCs/>
                <w:sz w:val="20"/>
                <w:szCs w:val="20"/>
              </w:rPr>
              <w:t>Scientific and Professional Skills</w:t>
            </w:r>
            <w:r w:rsidRPr="00212170">
              <w:rPr>
                <w:rFonts w:asciiTheme="minorHAnsi" w:eastAsia="Arial" w:hAnsiTheme="minorHAnsi" w:cstheme="minorHAnsi"/>
                <w:sz w:val="20"/>
                <w:szCs w:val="20"/>
              </w:rPr>
              <w:t>. Students who exit without having achieved the core modules may be eligible for an unnamed Postgraduate Certificate.</w:t>
            </w:r>
          </w:p>
        </w:tc>
      </w:tr>
      <w:tr w:rsidR="00614512" w:rsidRPr="00212170" w14:paraId="6C4215E7" w14:textId="77777777" w:rsidTr="00D37DD4">
        <w:tc>
          <w:tcPr>
            <w:tcW w:w="10768" w:type="dxa"/>
            <w:gridSpan w:val="2"/>
            <w:tcBorders>
              <w:top w:val="nil"/>
              <w:left w:val="nil"/>
              <w:bottom w:val="nil"/>
              <w:right w:val="nil"/>
            </w:tcBorders>
            <w:shd w:val="clear" w:color="auto" w:fill="auto"/>
            <w:tcMar>
              <w:top w:w="28" w:type="dxa"/>
              <w:left w:w="57" w:type="dxa"/>
              <w:bottom w:w="28" w:type="dxa"/>
              <w:right w:w="57" w:type="dxa"/>
            </w:tcMar>
          </w:tcPr>
          <w:p w14:paraId="7EFDDE32" w14:textId="754B1ECF" w:rsidR="00212170" w:rsidRPr="00212170" w:rsidRDefault="00212170" w:rsidP="00212170">
            <w:pPr>
              <w:pStyle w:val="Heading2"/>
              <w:rPr>
                <w:rFonts w:asciiTheme="minorHAnsi" w:hAnsiTheme="minorHAnsi" w:cstheme="minorHAnsi"/>
                <w:i w:val="0"/>
                <w:iCs w:val="0"/>
                <w:sz w:val="22"/>
                <w:szCs w:val="22"/>
              </w:rPr>
            </w:pPr>
            <w:r w:rsidRPr="00212170">
              <w:rPr>
                <w:rFonts w:asciiTheme="minorHAnsi" w:hAnsiTheme="minorHAnsi" w:cstheme="minorHAnsi"/>
              </w:rPr>
              <w:lastRenderedPageBreak/>
              <w:br w:type="page"/>
            </w:r>
            <w:r w:rsidRPr="00212170">
              <w:rPr>
                <w:rFonts w:asciiTheme="minorHAnsi" w:hAnsiTheme="minorHAnsi" w:cstheme="minorHAnsi"/>
              </w:rPr>
              <w:br w:type="page"/>
            </w:r>
            <w:r w:rsidRPr="00212170">
              <w:rPr>
                <w:rFonts w:asciiTheme="minorHAnsi" w:hAnsiTheme="minorHAnsi" w:cstheme="minorHAnsi"/>
                <w:i w:val="0"/>
                <w:iCs w:val="0"/>
                <w:sz w:val="22"/>
                <w:szCs w:val="22"/>
              </w:rPr>
              <w:t>Part F: Quality Assurance</w:t>
            </w:r>
          </w:p>
        </w:tc>
      </w:tr>
      <w:tr w:rsidR="00614512" w:rsidRPr="00212170" w14:paraId="61629DF4" w14:textId="77777777" w:rsidTr="00D37DD4">
        <w:tc>
          <w:tcPr>
            <w:tcW w:w="491" w:type="dxa"/>
            <w:tcBorders>
              <w:top w:val="nil"/>
              <w:left w:val="nil"/>
              <w:bottom w:val="single" w:sz="4" w:space="0" w:color="A6A6A6"/>
              <w:right w:val="nil"/>
            </w:tcBorders>
            <w:shd w:val="clear" w:color="auto" w:fill="auto"/>
            <w:tcMar>
              <w:top w:w="28" w:type="dxa"/>
              <w:left w:w="57" w:type="dxa"/>
              <w:bottom w:w="28" w:type="dxa"/>
              <w:right w:w="57" w:type="dxa"/>
            </w:tcMar>
          </w:tcPr>
          <w:p w14:paraId="3E4F34E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34</w:t>
            </w:r>
          </w:p>
        </w:tc>
        <w:tc>
          <w:tcPr>
            <w:tcW w:w="10277" w:type="dxa"/>
            <w:tcBorders>
              <w:top w:val="nil"/>
              <w:left w:val="nil"/>
              <w:bottom w:val="single" w:sz="4" w:space="0" w:color="A6A6A6"/>
              <w:right w:val="nil"/>
            </w:tcBorders>
            <w:shd w:val="clear" w:color="auto" w:fill="auto"/>
            <w:tcMar>
              <w:top w:w="28" w:type="dxa"/>
              <w:left w:w="57" w:type="dxa"/>
              <w:bottom w:w="28" w:type="dxa"/>
              <w:right w:w="57" w:type="dxa"/>
            </w:tcMar>
          </w:tcPr>
          <w:p w14:paraId="7FAE6B9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Examination Process</w:t>
            </w:r>
          </w:p>
        </w:tc>
      </w:tr>
      <w:tr w:rsidR="00614512" w:rsidRPr="00212170" w14:paraId="0DBD7D04"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3AABF5C5"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The Masters Board of Examiners consists of the LSTM Director (Chair), Dean of Education, Academic Registrar (Secretary), the External Examiners from all LSTM Master’s programmes and all members of academic staff who have made a major contribution to the teaching and assessment of the programmes.</w:t>
            </w:r>
          </w:p>
          <w:p w14:paraId="0FED3095" w14:textId="77777777" w:rsidR="00614512" w:rsidRPr="00212170" w:rsidRDefault="00212170" w:rsidP="00864585">
            <w:p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The Terms of Reference are as follows: </w:t>
            </w:r>
          </w:p>
          <w:p w14:paraId="196D7D4D" w14:textId="40A4B234" w:rsidR="00614512" w:rsidRPr="00212170" w:rsidRDefault="00212170" w:rsidP="00212170">
            <w:pPr>
              <w:numPr>
                <w:ilvl w:val="0"/>
                <w:numId w:val="9"/>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To monitor methods of assessment against set learning outcomes and programme requirements</w:t>
            </w:r>
          </w:p>
          <w:p w14:paraId="186CBD28" w14:textId="272C5F4A" w:rsidR="00614512" w:rsidRPr="00212170" w:rsidRDefault="00212170" w:rsidP="00212170">
            <w:pPr>
              <w:numPr>
                <w:ilvl w:val="0"/>
                <w:numId w:val="9"/>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To ensure standards of assessment are maintained</w:t>
            </w:r>
          </w:p>
          <w:p w14:paraId="1EA15444" w14:textId="6C506E79" w:rsidR="00614512" w:rsidRPr="00212170" w:rsidRDefault="00212170" w:rsidP="00212170">
            <w:pPr>
              <w:numPr>
                <w:ilvl w:val="0"/>
                <w:numId w:val="9"/>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To assess students’ performance in accordance with regulations</w:t>
            </w:r>
          </w:p>
          <w:p w14:paraId="2E2A790A" w14:textId="64AB1AEE" w:rsidR="00614512" w:rsidRPr="00212170" w:rsidRDefault="00212170" w:rsidP="00212170">
            <w:pPr>
              <w:numPr>
                <w:ilvl w:val="0"/>
                <w:numId w:val="9"/>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To reach overall decisions concerning awards</w:t>
            </w:r>
          </w:p>
          <w:p w14:paraId="2E724149" w14:textId="133509C9" w:rsidR="00614512" w:rsidRPr="00212170" w:rsidRDefault="00212170" w:rsidP="00212170">
            <w:pPr>
              <w:numPr>
                <w:ilvl w:val="0"/>
                <w:numId w:val="9"/>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To make recommendations to the Board of Studies on the conduct and standards of all assessment procedures</w:t>
            </w:r>
          </w:p>
          <w:p w14:paraId="703F6063"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External Examiners are responsible for ensuring that awards made by LSTM are of a comparable standard with those of similar subjects and awards of other Higher Education Institutions in the United Kingdom, as stated in the Code of Practice on External Examining of Taught Programmes which is available at: </w:t>
            </w:r>
            <w:hyperlink r:id="rId20" w:tgtFrame="_blank" w:history="1">
              <w:r w:rsidRPr="00212170">
                <w:rPr>
                  <w:rFonts w:asciiTheme="minorHAnsi" w:eastAsia="Arial" w:hAnsiTheme="minorHAnsi" w:cstheme="minorHAnsi"/>
                  <w:color w:val="000000"/>
                  <w:sz w:val="20"/>
                  <w:szCs w:val="20"/>
                </w:rPr>
                <w:t>http://www.lstmed.ac.uk/study/quality-manual</w:t>
              </w:r>
            </w:hyperlink>
          </w:p>
          <w:p w14:paraId="4A61B21F" w14:textId="77777777" w:rsidR="00614512" w:rsidRPr="00212170" w:rsidRDefault="00212170" w:rsidP="00864585">
            <w:p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Further information on the assessment policies and procedures can be found in the LSTM Masters Student Handbook, including: </w:t>
            </w:r>
          </w:p>
          <w:p w14:paraId="20FB285B" w14:textId="4B84EBE0" w:rsidR="00614512" w:rsidRPr="00212170" w:rsidRDefault="00212170" w:rsidP="00212170">
            <w:pPr>
              <w:numPr>
                <w:ilvl w:val="0"/>
                <w:numId w:val="14"/>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The penalties for the late submission of assessments</w:t>
            </w:r>
          </w:p>
          <w:p w14:paraId="5E47DD69" w14:textId="07BF6830" w:rsidR="00614512" w:rsidRPr="00212170" w:rsidRDefault="00212170" w:rsidP="00212170">
            <w:pPr>
              <w:numPr>
                <w:ilvl w:val="0"/>
                <w:numId w:val="14"/>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The rules relating to plagiarism and collusion</w:t>
            </w:r>
          </w:p>
          <w:p w14:paraId="0605E163" w14:textId="550CB7B4" w:rsidR="00614512" w:rsidRPr="00212170" w:rsidRDefault="00212170" w:rsidP="00212170">
            <w:pPr>
              <w:numPr>
                <w:ilvl w:val="0"/>
                <w:numId w:val="14"/>
              </w:numPr>
              <w:spacing w:after="0" w:line="240" w:lineRule="auto"/>
              <w:rPr>
                <w:rFonts w:asciiTheme="minorHAnsi" w:hAnsiTheme="minorHAnsi" w:cstheme="minorHAnsi"/>
                <w:sz w:val="20"/>
                <w:szCs w:val="20"/>
              </w:rPr>
            </w:pPr>
            <w:r w:rsidRPr="00212170">
              <w:rPr>
                <w:rFonts w:asciiTheme="minorHAnsi" w:eastAsia="Arial" w:hAnsiTheme="minorHAnsi" w:cstheme="minorHAnsi"/>
                <w:sz w:val="20"/>
                <w:szCs w:val="20"/>
              </w:rPr>
              <w:t>Ill-health and other special factors</w:t>
            </w:r>
          </w:p>
          <w:p w14:paraId="78E1E93B" w14:textId="7F64FEDE" w:rsidR="00212170"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Information on the purpose, method and schedule of assessment and the timescales for the submission of assessments can be found in the Programme Handbook (available on the LSTM student intranet) and on the Brightspace programme page.</w:t>
            </w:r>
          </w:p>
        </w:tc>
      </w:tr>
    </w:tbl>
    <w:p w14:paraId="3971AA3E" w14:textId="77777777" w:rsidR="00212170" w:rsidRPr="00212170" w:rsidRDefault="00212170">
      <w:pPr>
        <w:ind w:firstLine="720"/>
        <w:rPr>
          <w:rFonts w:asciiTheme="minorHAnsi" w:hAnsiTheme="minorHAnsi" w:cstheme="minorHAnsi"/>
          <w:sz w:val="8"/>
          <w:szCs w:val="1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14512" w:rsidRPr="00212170" w14:paraId="6430D99D"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589CD14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35</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31693CD"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Student Representation and Feedback</w:t>
            </w:r>
          </w:p>
        </w:tc>
      </w:tr>
      <w:tr w:rsidR="00614512" w:rsidRPr="00212170" w14:paraId="758F0728"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04AF64F1"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LSTM is committed to receiving and responding to student feedback in order to develop learning and teaching within the institution and to improve the overall quality of the student experience. Students are encouraged to evaluate individual modules and the programme via an online survey tool.  The survey results are reported at Board of Study (BoS) meetings, together with any additional feedback from the student representatives.  Regular focus groups will be held and there are opportunities for informal feedback via tutors and module convenors.</w:t>
            </w:r>
          </w:p>
          <w:p w14:paraId="57C01464" w14:textId="77777777" w:rsidR="00614512" w:rsidRPr="00212170" w:rsidRDefault="00212170" w:rsidP="00212170">
            <w:p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Students will be formally represented within the LSTM committee structure: </w:t>
            </w:r>
          </w:p>
          <w:p w14:paraId="7EDB2BEC" w14:textId="0D184DE7" w:rsidR="00614512" w:rsidRPr="00212170" w:rsidRDefault="00212170" w:rsidP="00212170">
            <w:pPr>
              <w:numPr>
                <w:ilvl w:val="0"/>
                <w:numId w:val="15"/>
              </w:num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The </w:t>
            </w:r>
            <w:r w:rsidRPr="00212170">
              <w:rPr>
                <w:rFonts w:asciiTheme="minorHAnsi" w:hAnsiTheme="minorHAnsi" w:cstheme="minorHAnsi"/>
                <w:b/>
                <w:bCs/>
                <w:sz w:val="20"/>
              </w:rPr>
              <w:t>Staff Student Liaison Committee (SSLC)</w:t>
            </w:r>
            <w:r w:rsidRPr="00212170">
              <w:rPr>
                <w:rFonts w:asciiTheme="minorHAnsi" w:eastAsia="Arial" w:hAnsiTheme="minorHAnsi" w:cstheme="minorHAnsi"/>
                <w:sz w:val="20"/>
                <w:szCs w:val="20"/>
              </w:rPr>
              <w:t xml:space="preserve"> meets 3 times a year and includes an elected representative from each programme, including any programme streams.  The minutes of the SSLC are received by the Learning &amp; Teaching Committee (L&amp;TC).  The membership of the SSLC, its terms of reference and the manner in which it conducts its business conform to the requirements of the Code of Practice on Student Engagement and Enhancing the Student Experience - </w:t>
            </w:r>
            <w:hyperlink r:id="rId21" w:tgtFrame="_blank" w:history="1">
              <w:r w:rsidRPr="00212170">
                <w:rPr>
                  <w:rFonts w:asciiTheme="minorHAnsi" w:eastAsia="Arial" w:hAnsiTheme="minorHAnsi" w:cstheme="minorHAnsi"/>
                  <w:sz w:val="20"/>
                  <w:szCs w:val="20"/>
                </w:rPr>
                <w:t>http://www.lstmed.ac.uk/study/quality-manual</w:t>
              </w:r>
            </w:hyperlink>
          </w:p>
          <w:p w14:paraId="3930F6A5" w14:textId="77777777" w:rsidR="00614512" w:rsidRPr="00212170" w:rsidRDefault="00212170" w:rsidP="00212170">
            <w:pPr>
              <w:numPr>
                <w:ilvl w:val="0"/>
                <w:numId w:val="15"/>
              </w:num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t xml:space="preserve">(b) Each Master’s programme has a </w:t>
            </w:r>
            <w:r w:rsidRPr="00212170">
              <w:rPr>
                <w:rFonts w:asciiTheme="minorHAnsi" w:hAnsiTheme="minorHAnsi" w:cstheme="minorHAnsi"/>
                <w:b/>
                <w:bCs/>
                <w:sz w:val="20"/>
              </w:rPr>
              <w:t>Board of Studies (BoS)</w:t>
            </w:r>
            <w:r w:rsidRPr="00212170">
              <w:rPr>
                <w:rFonts w:asciiTheme="minorHAnsi" w:eastAsia="Arial" w:hAnsiTheme="minorHAnsi" w:cstheme="minorHAnsi"/>
                <w:sz w:val="20"/>
                <w:szCs w:val="20"/>
              </w:rPr>
              <w:t>, which oversees its planning, operation, management and development.  Membership of the BOS consists of the Director of Studies for the Programme, the Academic Registrar, elected student representatives, Registry staff supporting the programme, Convenors of Modules and those making a significant contribution to the programme.  </w:t>
            </w:r>
          </w:p>
          <w:p w14:paraId="2672DFCD" w14:textId="77777777" w:rsidR="00614512" w:rsidRPr="00212170" w:rsidRDefault="00212170" w:rsidP="00212170">
            <w:pPr>
              <w:spacing w:before="120" w:after="120" w:line="240" w:lineRule="auto"/>
              <w:ind w:left="720"/>
              <w:rPr>
                <w:rFonts w:asciiTheme="minorHAnsi" w:hAnsiTheme="minorHAnsi" w:cstheme="minorHAnsi"/>
                <w:sz w:val="20"/>
                <w:szCs w:val="20"/>
              </w:rPr>
            </w:pPr>
            <w:r w:rsidRPr="00212170">
              <w:rPr>
                <w:rFonts w:asciiTheme="minorHAnsi" w:eastAsia="Arial" w:hAnsiTheme="minorHAnsi" w:cstheme="minorHAnsi"/>
                <w:sz w:val="20"/>
                <w:szCs w:val="20"/>
              </w:rPr>
              <w:t xml:space="preserve">Students play an active role in the work of the BoS, with the exception of reserved and confidential business.  The minutes of all Boards of Studies are received by the L&amp;TC. </w:t>
            </w:r>
          </w:p>
          <w:p w14:paraId="2000765E" w14:textId="5EB48D55" w:rsidR="00614512" w:rsidRPr="00212170" w:rsidRDefault="00212170" w:rsidP="00212170">
            <w:pPr>
              <w:numPr>
                <w:ilvl w:val="0"/>
                <w:numId w:val="15"/>
              </w:numPr>
              <w:spacing w:before="120" w:after="120" w:line="240" w:lineRule="auto"/>
              <w:rPr>
                <w:rFonts w:asciiTheme="minorHAnsi" w:hAnsiTheme="minorHAnsi" w:cstheme="minorHAnsi"/>
                <w:sz w:val="20"/>
                <w:szCs w:val="20"/>
              </w:rPr>
            </w:pPr>
            <w:r w:rsidRPr="00212170">
              <w:rPr>
                <w:rFonts w:asciiTheme="minorHAnsi" w:eastAsia="Arial" w:hAnsiTheme="minorHAnsi" w:cstheme="minorHAnsi"/>
                <w:sz w:val="20"/>
                <w:szCs w:val="20"/>
              </w:rPr>
              <w:lastRenderedPageBreak/>
              <w:t xml:space="preserve">(c) The </w:t>
            </w:r>
            <w:r w:rsidRPr="00212170">
              <w:rPr>
                <w:rFonts w:asciiTheme="minorHAnsi" w:hAnsiTheme="minorHAnsi" w:cstheme="minorHAnsi"/>
                <w:b/>
                <w:bCs/>
                <w:sz w:val="20"/>
              </w:rPr>
              <w:t xml:space="preserve">Quality Management Committee </w:t>
            </w:r>
            <w:r w:rsidRPr="00212170">
              <w:rPr>
                <w:rFonts w:asciiTheme="minorHAnsi" w:eastAsia="Arial" w:hAnsiTheme="minorHAnsi" w:cstheme="minorHAnsi"/>
                <w:sz w:val="20"/>
                <w:szCs w:val="20"/>
              </w:rPr>
              <w:t xml:space="preserve">(QMC) oversees the academic standards and quality assurance and enhancement of all taught programmes, ensuring that LSTM’s quality assurance processes are fully informed by external expectations including the UK Quality Code for Higher Education.  Two students from across all programmes serve as full members of the QMC.  The QMC reports on academic quality assurance and enhancement issues to the L&amp;T Committee. The Committee meets a minimum of four times per academic year and is responsible for: </w:t>
            </w:r>
          </w:p>
          <w:p w14:paraId="4CC9C525" w14:textId="55CFA1D0" w:rsidR="00614512" w:rsidRPr="00212170" w:rsidRDefault="00212170" w:rsidP="00212170">
            <w:pPr>
              <w:numPr>
                <w:ilvl w:val="0"/>
                <w:numId w:val="17"/>
              </w:numPr>
              <w:spacing w:after="0" w:line="240" w:lineRule="auto"/>
              <w:ind w:left="1276" w:hanging="283"/>
              <w:rPr>
                <w:rFonts w:asciiTheme="minorHAnsi" w:hAnsiTheme="minorHAnsi" w:cstheme="minorHAnsi"/>
                <w:sz w:val="20"/>
                <w:szCs w:val="20"/>
              </w:rPr>
            </w:pPr>
            <w:r w:rsidRPr="00212170">
              <w:rPr>
                <w:rFonts w:asciiTheme="minorHAnsi" w:eastAsia="Arial" w:hAnsiTheme="minorHAnsi" w:cstheme="minorHAnsi"/>
                <w:sz w:val="20"/>
                <w:szCs w:val="20"/>
              </w:rPr>
              <w:t>Approving, monitoring and reviewing programmes and modules</w:t>
            </w:r>
          </w:p>
          <w:p w14:paraId="739D03D7" w14:textId="1C5A1205" w:rsidR="00614512" w:rsidRPr="00212170" w:rsidRDefault="00212170" w:rsidP="00212170">
            <w:pPr>
              <w:numPr>
                <w:ilvl w:val="0"/>
                <w:numId w:val="17"/>
              </w:numPr>
              <w:spacing w:after="0" w:line="240" w:lineRule="auto"/>
              <w:ind w:left="1276" w:hanging="283"/>
              <w:rPr>
                <w:rFonts w:asciiTheme="minorHAnsi" w:hAnsiTheme="minorHAnsi" w:cstheme="minorHAnsi"/>
                <w:sz w:val="20"/>
                <w:szCs w:val="20"/>
              </w:rPr>
            </w:pPr>
            <w:r w:rsidRPr="00212170">
              <w:rPr>
                <w:rFonts w:asciiTheme="minorHAnsi" w:eastAsia="Arial" w:hAnsiTheme="minorHAnsi" w:cstheme="minorHAnsi"/>
                <w:sz w:val="20"/>
                <w:szCs w:val="20"/>
              </w:rPr>
              <w:t>Approving recommendations for the appointment of external examiners for LSTM programmes.</w:t>
            </w:r>
          </w:p>
          <w:p w14:paraId="69A9426B" w14:textId="4671FD38" w:rsidR="00614512" w:rsidRPr="00212170" w:rsidRDefault="00212170" w:rsidP="00212170">
            <w:pPr>
              <w:numPr>
                <w:ilvl w:val="0"/>
                <w:numId w:val="17"/>
              </w:numPr>
              <w:spacing w:after="0" w:line="240" w:lineRule="auto"/>
              <w:ind w:left="1276" w:hanging="283"/>
              <w:rPr>
                <w:rFonts w:asciiTheme="minorHAnsi" w:hAnsiTheme="minorHAnsi" w:cstheme="minorHAnsi"/>
                <w:sz w:val="20"/>
                <w:szCs w:val="20"/>
              </w:rPr>
            </w:pPr>
            <w:r w:rsidRPr="00212170">
              <w:rPr>
                <w:rFonts w:asciiTheme="minorHAnsi" w:eastAsia="Arial" w:hAnsiTheme="minorHAnsi" w:cstheme="minorHAnsi"/>
                <w:sz w:val="20"/>
                <w:szCs w:val="20"/>
              </w:rPr>
              <w:t>Monitoring the progress of actions raised by External Examiners</w:t>
            </w:r>
          </w:p>
          <w:p w14:paraId="6AF5DF93" w14:textId="5F5F7C72" w:rsidR="00212170" w:rsidRPr="00212170" w:rsidRDefault="00212170" w:rsidP="00212170">
            <w:pPr>
              <w:numPr>
                <w:ilvl w:val="0"/>
                <w:numId w:val="17"/>
              </w:numPr>
              <w:spacing w:after="120" w:line="240" w:lineRule="auto"/>
              <w:ind w:left="1276" w:hanging="284"/>
              <w:rPr>
                <w:rFonts w:asciiTheme="minorHAnsi" w:hAnsiTheme="minorHAnsi" w:cstheme="minorHAnsi"/>
                <w:sz w:val="20"/>
                <w:szCs w:val="20"/>
              </w:rPr>
            </w:pPr>
            <w:r w:rsidRPr="00212170">
              <w:rPr>
                <w:rFonts w:asciiTheme="minorHAnsi" w:eastAsia="Arial" w:hAnsiTheme="minorHAnsi" w:cstheme="minorHAnsi"/>
                <w:sz w:val="20"/>
                <w:szCs w:val="20"/>
              </w:rPr>
              <w:t>Developing, monitoring and reviewing the peer observation system</w:t>
            </w:r>
          </w:p>
        </w:tc>
      </w:tr>
    </w:tbl>
    <w:p w14:paraId="5DF9288C" w14:textId="77777777" w:rsidR="00212170" w:rsidRPr="00212170" w:rsidRDefault="00212170" w:rsidP="00212170">
      <w:pPr>
        <w:pStyle w:val="Heading2"/>
        <w:rPr>
          <w:rFonts w:asciiTheme="minorHAnsi" w:hAnsiTheme="minorHAnsi" w:cstheme="minorHAnsi"/>
          <w:i w:val="0"/>
          <w:iCs w:val="0"/>
          <w:sz w:val="22"/>
          <w:szCs w:val="22"/>
        </w:rPr>
      </w:pPr>
      <w:r w:rsidRPr="00212170">
        <w:rPr>
          <w:rFonts w:asciiTheme="minorHAnsi" w:hAnsiTheme="minorHAnsi" w:cstheme="minorHAnsi"/>
          <w:i w:val="0"/>
          <w:iCs w:val="0"/>
          <w:sz w:val="22"/>
          <w:szCs w:val="22"/>
        </w:rPr>
        <w:lastRenderedPageBreak/>
        <w:t>Part G: Diversity and Equality of Opportunity and Widening Participation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14512" w:rsidRPr="00212170" w14:paraId="5679BC60"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3A956910" w14:textId="77777777" w:rsidR="00212170" w:rsidRPr="00212170" w:rsidRDefault="00212170" w:rsidP="00BD031D">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36</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10EC5B5D" w14:textId="77777777" w:rsidR="00212170" w:rsidRPr="00212170" w:rsidRDefault="00212170" w:rsidP="00D37DD4">
            <w:pPr>
              <w:tabs>
                <w:tab w:val="left" w:pos="2354"/>
              </w:tabs>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Diversity and Equality Statement</w:t>
            </w:r>
          </w:p>
        </w:tc>
      </w:tr>
      <w:tr w:rsidR="00614512" w:rsidRPr="00212170" w14:paraId="0A1BD1B9"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173C948E" w14:textId="77777777" w:rsidR="00212170" w:rsidRPr="00212170" w:rsidRDefault="00212170" w:rsidP="00212170">
            <w:pPr>
              <w:spacing w:before="120" w:after="120" w:line="240" w:lineRule="auto"/>
              <w:rPr>
                <w:rFonts w:asciiTheme="minorHAnsi" w:hAnsiTheme="minorHAnsi" w:cstheme="minorHAnsi"/>
                <w:sz w:val="20"/>
                <w:szCs w:val="20"/>
              </w:rPr>
            </w:pPr>
            <w:r w:rsidRPr="00212170">
              <w:rPr>
                <w:rFonts w:asciiTheme="minorHAnsi" w:hAnsiTheme="minorHAnsi" w:cstheme="minorHAnsi"/>
                <w:sz w:val="20"/>
                <w:szCs w:val="20"/>
              </w:rPr>
              <w:t xml:space="preserve">The programme’s design, structure and content are consistent and compliant with the Diversity and Equality of Opportunity Policy. LSTM provides a multiracial, multidisciplinary learning environment in which all students benefit from the opportunity to share diverse experiences and outlooks, supported by staff who are themselves from a variety of national and cultural backgrounds and spend significant </w:t>
            </w:r>
            <w:r w:rsidRPr="00212170">
              <w:rPr>
                <w:rFonts w:asciiTheme="minorHAnsi" w:eastAsia="Arial" w:hAnsiTheme="minorHAnsi" w:cstheme="minorHAnsi"/>
                <w:sz w:val="20"/>
                <w:szCs w:val="20"/>
              </w:rPr>
              <w:t>periods</w:t>
            </w:r>
            <w:r w:rsidRPr="00212170">
              <w:rPr>
                <w:rFonts w:asciiTheme="minorHAnsi" w:hAnsiTheme="minorHAnsi" w:cstheme="minorHAnsi"/>
                <w:sz w:val="20"/>
                <w:szCs w:val="20"/>
              </w:rPr>
              <w:t xml:space="preserve"> of time working overseas.  LSTM provides a comprehensive range of relevant non-academic student support services. The Personal Tutor System aims to provide students with advice and support in matters related to academic work and to enable the development of independent study habits suitable for higher education. Reasonable adjustments are made to assessments for disabled students in line with the Code of Practice on Student Support and Welfare.</w:t>
            </w:r>
          </w:p>
        </w:tc>
      </w:tr>
    </w:tbl>
    <w:p w14:paraId="61195F36" w14:textId="77777777" w:rsidR="00212170" w:rsidRPr="00212170" w:rsidRDefault="00212170" w:rsidP="00212170">
      <w:pPr>
        <w:pStyle w:val="Heading2"/>
        <w:rPr>
          <w:rFonts w:asciiTheme="minorHAnsi" w:hAnsiTheme="minorHAnsi" w:cstheme="minorHAnsi"/>
          <w:i w:val="0"/>
          <w:iCs w:val="0"/>
          <w:sz w:val="22"/>
          <w:szCs w:val="22"/>
        </w:rPr>
      </w:pPr>
      <w:r w:rsidRPr="00212170">
        <w:rPr>
          <w:rFonts w:asciiTheme="minorHAnsi" w:hAnsiTheme="minorHAnsi" w:cstheme="minorHAnsi"/>
          <w:i w:val="0"/>
          <w:iCs w:val="0"/>
          <w:sz w:val="22"/>
          <w:szCs w:val="22"/>
        </w:rPr>
        <w:t>Part H: Status of Professional, Statutory or Regulatory Body Accreditation</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0286"/>
      </w:tblGrid>
      <w:tr w:rsidR="00614512" w:rsidRPr="00212170" w14:paraId="71B2AA85" w14:textId="77777777" w:rsidTr="00D37DD4">
        <w:tc>
          <w:tcPr>
            <w:tcW w:w="482" w:type="dxa"/>
            <w:tcBorders>
              <w:top w:val="nil"/>
              <w:left w:val="nil"/>
              <w:bottom w:val="single" w:sz="4" w:space="0" w:color="A6A6A6"/>
              <w:right w:val="nil"/>
            </w:tcBorders>
            <w:shd w:val="clear" w:color="auto" w:fill="auto"/>
            <w:tcMar>
              <w:top w:w="28" w:type="dxa"/>
              <w:left w:w="57" w:type="dxa"/>
              <w:bottom w:w="28" w:type="dxa"/>
              <w:right w:w="57" w:type="dxa"/>
            </w:tcMar>
          </w:tcPr>
          <w:p w14:paraId="25667967"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37</w:t>
            </w:r>
          </w:p>
        </w:tc>
        <w:tc>
          <w:tcPr>
            <w:tcW w:w="10286" w:type="dxa"/>
            <w:tcBorders>
              <w:top w:val="nil"/>
              <w:left w:val="nil"/>
              <w:bottom w:val="single" w:sz="4" w:space="0" w:color="A6A6A6"/>
              <w:right w:val="nil"/>
            </w:tcBorders>
            <w:shd w:val="clear" w:color="auto" w:fill="auto"/>
            <w:tcMar>
              <w:top w:w="28" w:type="dxa"/>
              <w:left w:w="57" w:type="dxa"/>
              <w:bottom w:w="28" w:type="dxa"/>
              <w:right w:w="57" w:type="dxa"/>
            </w:tcMar>
          </w:tcPr>
          <w:p w14:paraId="674C35A3" w14:textId="77777777" w:rsidR="00212170" w:rsidRPr="00212170" w:rsidRDefault="00212170" w:rsidP="00D37DD4">
            <w:pPr>
              <w:tabs>
                <w:tab w:val="left" w:pos="3606"/>
              </w:tabs>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Accreditation Status</w:t>
            </w:r>
          </w:p>
        </w:tc>
      </w:tr>
      <w:tr w:rsidR="00614512" w:rsidRPr="00212170" w14:paraId="586BFBB8" w14:textId="77777777" w:rsidTr="00D37DD4">
        <w:tc>
          <w:tcPr>
            <w:tcW w:w="10768" w:type="dxa"/>
            <w:gridSpan w:val="2"/>
            <w:tcBorders>
              <w:top w:val="single" w:sz="4" w:space="0" w:color="A6A6A6"/>
              <w:left w:val="single" w:sz="4" w:space="0" w:color="A6A6A6"/>
              <w:bottom w:val="single" w:sz="4" w:space="0" w:color="A6A6A6"/>
              <w:right w:val="single" w:sz="4" w:space="0" w:color="A6A6A6"/>
            </w:tcBorders>
            <w:shd w:val="clear" w:color="auto" w:fill="F0F0F0"/>
            <w:tcMar>
              <w:top w:w="28" w:type="dxa"/>
              <w:left w:w="57" w:type="dxa"/>
              <w:bottom w:w="28" w:type="dxa"/>
              <w:right w:w="57" w:type="dxa"/>
            </w:tcMar>
          </w:tcPr>
          <w:p w14:paraId="6E449744" w14:textId="77777777" w:rsidR="00212170" w:rsidRPr="00212170" w:rsidRDefault="00212170" w:rsidP="00212170">
            <w:pPr>
              <w:spacing w:before="120" w:after="120" w:line="240" w:lineRule="auto"/>
              <w:rPr>
                <w:rFonts w:asciiTheme="minorHAnsi" w:hAnsiTheme="minorHAnsi" w:cstheme="minorHAnsi"/>
                <w:sz w:val="20"/>
                <w:szCs w:val="20"/>
              </w:rPr>
            </w:pPr>
            <w:r w:rsidRPr="00212170">
              <w:rPr>
                <w:rFonts w:asciiTheme="minorHAnsi" w:hAnsiTheme="minorHAnsi" w:cstheme="minorHAnsi"/>
                <w:sz w:val="20"/>
                <w:szCs w:val="20"/>
              </w:rPr>
              <w:t>Not applicable</w:t>
            </w:r>
          </w:p>
        </w:tc>
      </w:tr>
    </w:tbl>
    <w:p w14:paraId="41A4B0F6" w14:textId="77777777" w:rsidR="00212170" w:rsidRPr="00212170" w:rsidRDefault="00212170" w:rsidP="00042279">
      <w:pPr>
        <w:rPr>
          <w:rFonts w:asciiTheme="minorHAnsi" w:hAnsiTheme="minorHAnsi" w:cstheme="minorHAnsi"/>
          <w:b/>
          <w:color w:val="333333"/>
          <w:szCs w:val="24"/>
        </w:rPr>
      </w:pPr>
    </w:p>
    <w:p w14:paraId="6625B584" w14:textId="77777777" w:rsidR="00212170" w:rsidRPr="00212170" w:rsidRDefault="00212170" w:rsidP="00212170">
      <w:pPr>
        <w:pStyle w:val="Heading2"/>
        <w:rPr>
          <w:rFonts w:asciiTheme="minorHAnsi" w:hAnsiTheme="minorHAnsi" w:cstheme="minorHAnsi"/>
          <w:i w:val="0"/>
          <w:iCs w:val="0"/>
          <w:sz w:val="22"/>
          <w:szCs w:val="22"/>
        </w:rPr>
      </w:pPr>
      <w:r w:rsidRPr="00212170">
        <w:rPr>
          <w:rFonts w:asciiTheme="minorHAnsi" w:hAnsiTheme="minorHAnsi" w:cstheme="minorHAnsi"/>
          <w:color w:val="333333"/>
          <w:szCs w:val="24"/>
        </w:rPr>
        <w:br w:type="page"/>
      </w:r>
      <w:r w:rsidRPr="00212170">
        <w:rPr>
          <w:rFonts w:asciiTheme="minorHAnsi" w:hAnsiTheme="minorHAnsi" w:cstheme="minorHAnsi"/>
          <w:i w:val="0"/>
          <w:iCs w:val="0"/>
          <w:sz w:val="22"/>
          <w:szCs w:val="22"/>
        </w:rPr>
        <w:lastRenderedPageBreak/>
        <w:t xml:space="preserve">Annex: Modifications </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559"/>
        <w:gridCol w:w="1462"/>
        <w:gridCol w:w="1462"/>
        <w:gridCol w:w="1476"/>
      </w:tblGrid>
      <w:tr w:rsidR="00614512" w:rsidRPr="00212170" w14:paraId="65EAF79A" w14:textId="77777777" w:rsidTr="00D37DD4">
        <w:tc>
          <w:tcPr>
            <w:tcW w:w="10774" w:type="dxa"/>
            <w:gridSpan w:val="5"/>
            <w:tcBorders>
              <w:top w:val="nil"/>
              <w:left w:val="nil"/>
              <w:bottom w:val="nil"/>
              <w:right w:val="nil"/>
            </w:tcBorders>
            <w:shd w:val="clear" w:color="auto" w:fill="auto"/>
            <w:tcMar>
              <w:top w:w="28" w:type="dxa"/>
              <w:left w:w="57" w:type="dxa"/>
              <w:bottom w:w="28" w:type="dxa"/>
              <w:right w:w="57" w:type="dxa"/>
            </w:tcMar>
          </w:tcPr>
          <w:p w14:paraId="4FB17539"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Annex of Modifications made to the Programme - Related List of Modification</w:t>
            </w:r>
          </w:p>
        </w:tc>
      </w:tr>
      <w:tr w:rsidR="00614512" w:rsidRPr="00212170" w14:paraId="68FB1493"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0229BE5E" w14:textId="77777777" w:rsidR="00212170" w:rsidRPr="00212170" w:rsidRDefault="00212170" w:rsidP="00D37DD4">
            <w:pPr>
              <w:spacing w:after="0" w:line="240" w:lineRule="auto"/>
              <w:rPr>
                <w:rFonts w:asciiTheme="minorHAnsi" w:hAnsiTheme="minorHAnsi" w:cstheme="minorHAnsi"/>
                <w:b/>
                <w:color w:val="B11636"/>
                <w:sz w:val="20"/>
              </w:rPr>
            </w:pPr>
          </w:p>
        </w:tc>
        <w:tc>
          <w:tcPr>
            <w:tcW w:w="1559" w:type="dxa"/>
            <w:tcBorders>
              <w:top w:val="nil"/>
              <w:left w:val="nil"/>
              <w:bottom w:val="single" w:sz="4" w:space="0" w:color="A6A6A6"/>
              <w:right w:val="nil"/>
            </w:tcBorders>
            <w:shd w:val="clear" w:color="auto" w:fill="auto"/>
          </w:tcPr>
          <w:p w14:paraId="1678D373" w14:textId="77777777" w:rsidR="00212170" w:rsidRPr="00212170" w:rsidRDefault="00212170" w:rsidP="00D37DD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34549834" w14:textId="77777777" w:rsidR="00212170" w:rsidRPr="00212170" w:rsidRDefault="00212170" w:rsidP="00D37DD4">
            <w:pPr>
              <w:spacing w:after="0" w:line="240" w:lineRule="auto"/>
              <w:rPr>
                <w:rFonts w:asciiTheme="minorHAnsi" w:hAnsiTheme="minorHAnsi" w:cstheme="minorHAnsi"/>
                <w:b/>
                <w:color w:val="B11636"/>
                <w:sz w:val="20"/>
              </w:rPr>
            </w:pPr>
          </w:p>
        </w:tc>
        <w:tc>
          <w:tcPr>
            <w:tcW w:w="1462" w:type="dxa"/>
            <w:tcBorders>
              <w:top w:val="nil"/>
              <w:left w:val="nil"/>
              <w:bottom w:val="single" w:sz="4" w:space="0" w:color="A6A6A6"/>
              <w:right w:val="nil"/>
            </w:tcBorders>
            <w:shd w:val="clear" w:color="auto" w:fill="auto"/>
          </w:tcPr>
          <w:p w14:paraId="2C5FE0ED" w14:textId="77777777" w:rsidR="00212170" w:rsidRPr="00212170" w:rsidRDefault="00212170" w:rsidP="00D37DD4">
            <w:pPr>
              <w:spacing w:after="0" w:line="240" w:lineRule="auto"/>
              <w:rPr>
                <w:rFonts w:asciiTheme="minorHAnsi" w:hAnsiTheme="minorHAnsi" w:cstheme="minorHAnsi"/>
                <w:b/>
                <w:color w:val="B11636"/>
                <w:sz w:val="20"/>
              </w:rPr>
            </w:pPr>
          </w:p>
        </w:tc>
        <w:tc>
          <w:tcPr>
            <w:tcW w:w="1476" w:type="dxa"/>
            <w:tcBorders>
              <w:top w:val="nil"/>
              <w:left w:val="nil"/>
              <w:bottom w:val="single" w:sz="4" w:space="0" w:color="A6A6A6"/>
              <w:right w:val="nil"/>
            </w:tcBorders>
            <w:shd w:val="clear" w:color="auto" w:fill="auto"/>
          </w:tcPr>
          <w:p w14:paraId="7544BC5C" w14:textId="77777777" w:rsidR="00212170" w:rsidRPr="00212170" w:rsidRDefault="00212170" w:rsidP="00D37DD4">
            <w:pPr>
              <w:spacing w:after="0" w:line="240" w:lineRule="auto"/>
              <w:rPr>
                <w:rFonts w:asciiTheme="minorHAnsi" w:hAnsiTheme="minorHAnsi" w:cstheme="minorHAnsi"/>
                <w:b/>
                <w:color w:val="B11636"/>
                <w:sz w:val="20"/>
              </w:rPr>
            </w:pPr>
          </w:p>
        </w:tc>
      </w:tr>
      <w:tr w:rsidR="00614512" w:rsidRPr="00212170" w14:paraId="36F2CD03" w14:textId="77777777" w:rsidTr="00D37DD4">
        <w:tc>
          <w:tcPr>
            <w:tcW w:w="4815" w:type="dxa"/>
            <w:tcBorders>
              <w:top w:val="nil"/>
              <w:left w:val="nil"/>
              <w:bottom w:val="single" w:sz="4" w:space="0" w:color="A6A6A6"/>
              <w:right w:val="nil"/>
            </w:tcBorders>
            <w:shd w:val="clear" w:color="auto" w:fill="auto"/>
            <w:tcMar>
              <w:top w:w="28" w:type="dxa"/>
              <w:left w:w="57" w:type="dxa"/>
              <w:bottom w:w="28" w:type="dxa"/>
              <w:right w:w="57" w:type="dxa"/>
            </w:tcMar>
          </w:tcPr>
          <w:p w14:paraId="03512EB0" w14:textId="77777777" w:rsidR="00212170" w:rsidRPr="00212170" w:rsidRDefault="00212170" w:rsidP="00D37DD4">
            <w:pPr>
              <w:spacing w:after="0" w:line="240" w:lineRule="auto"/>
              <w:rPr>
                <w:rFonts w:asciiTheme="minorHAnsi" w:hAnsiTheme="minorHAnsi" w:cstheme="minorHAnsi"/>
                <w:b/>
                <w:sz w:val="20"/>
              </w:rPr>
            </w:pPr>
            <w:r w:rsidRPr="00212170">
              <w:rPr>
                <w:rFonts w:asciiTheme="minorHAnsi" w:hAnsiTheme="minorHAnsi" w:cstheme="minorHAnsi"/>
                <w:b/>
                <w:color w:val="B11636"/>
                <w:sz w:val="20"/>
              </w:rPr>
              <w:t>Description of Modification</w:t>
            </w:r>
            <w:r w:rsidRPr="00212170">
              <w:rPr>
                <w:rFonts w:asciiTheme="minorHAnsi" w:hAnsiTheme="minorHAnsi" w:cstheme="minorHAnsi"/>
                <w:b/>
                <w:sz w:val="20"/>
              </w:rPr>
              <w:t xml:space="preserve"> </w:t>
            </w:r>
            <w:r w:rsidRPr="00212170">
              <w:rPr>
                <w:rFonts w:asciiTheme="minorHAnsi" w:hAnsiTheme="minorHAnsi" w:cstheme="minorHAnsi"/>
                <w:sz w:val="16"/>
                <w:szCs w:val="18"/>
              </w:rPr>
              <w:t>(Please include details of any student consultation undertaken or confirm that students’ consent was obtained where this was required)</w:t>
            </w:r>
          </w:p>
        </w:tc>
        <w:tc>
          <w:tcPr>
            <w:tcW w:w="1559" w:type="dxa"/>
            <w:tcBorders>
              <w:top w:val="nil"/>
              <w:left w:val="nil"/>
              <w:bottom w:val="single" w:sz="4" w:space="0" w:color="A6A6A6"/>
              <w:right w:val="nil"/>
            </w:tcBorders>
            <w:shd w:val="clear" w:color="auto" w:fill="auto"/>
          </w:tcPr>
          <w:p w14:paraId="5C78BCE6"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Major/Minor Modifications</w:t>
            </w:r>
          </w:p>
        </w:tc>
        <w:tc>
          <w:tcPr>
            <w:tcW w:w="1462" w:type="dxa"/>
            <w:tcBorders>
              <w:top w:val="nil"/>
              <w:left w:val="nil"/>
              <w:bottom w:val="single" w:sz="4" w:space="0" w:color="A6A6A6"/>
              <w:right w:val="nil"/>
            </w:tcBorders>
            <w:shd w:val="clear" w:color="auto" w:fill="auto"/>
          </w:tcPr>
          <w:p w14:paraId="1EF3AEC8"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Date Approved by QMC</w:t>
            </w:r>
          </w:p>
        </w:tc>
        <w:tc>
          <w:tcPr>
            <w:tcW w:w="1462" w:type="dxa"/>
            <w:tcBorders>
              <w:top w:val="nil"/>
              <w:left w:val="nil"/>
              <w:bottom w:val="single" w:sz="4" w:space="0" w:color="A6A6A6"/>
              <w:right w:val="nil"/>
            </w:tcBorders>
            <w:shd w:val="clear" w:color="auto" w:fill="auto"/>
          </w:tcPr>
          <w:p w14:paraId="0584F65E"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Date Approved by Mgt Cttee</w:t>
            </w:r>
          </w:p>
        </w:tc>
        <w:tc>
          <w:tcPr>
            <w:tcW w:w="1476" w:type="dxa"/>
            <w:tcBorders>
              <w:top w:val="nil"/>
              <w:left w:val="nil"/>
              <w:bottom w:val="single" w:sz="4" w:space="0" w:color="A6A6A6"/>
              <w:right w:val="nil"/>
            </w:tcBorders>
            <w:shd w:val="clear" w:color="auto" w:fill="auto"/>
          </w:tcPr>
          <w:p w14:paraId="58EC211B" w14:textId="77777777" w:rsidR="00212170" w:rsidRPr="00212170" w:rsidRDefault="00212170" w:rsidP="00D37DD4">
            <w:pPr>
              <w:spacing w:after="0" w:line="240" w:lineRule="auto"/>
              <w:rPr>
                <w:rFonts w:asciiTheme="minorHAnsi" w:hAnsiTheme="minorHAnsi" w:cstheme="minorHAnsi"/>
                <w:b/>
                <w:color w:val="B11636"/>
                <w:sz w:val="20"/>
              </w:rPr>
            </w:pPr>
            <w:r w:rsidRPr="00212170">
              <w:rPr>
                <w:rFonts w:asciiTheme="minorHAnsi" w:hAnsiTheme="minorHAnsi" w:cstheme="minorHAnsi"/>
                <w:b/>
                <w:color w:val="B11636"/>
                <w:sz w:val="20"/>
              </w:rPr>
              <w:t>Cohort Affected</w:t>
            </w:r>
          </w:p>
          <w:p w14:paraId="75BEE20C" w14:textId="77777777" w:rsidR="00212170" w:rsidRPr="00212170" w:rsidRDefault="00212170" w:rsidP="00D37DD4">
            <w:pPr>
              <w:spacing w:after="0" w:line="240" w:lineRule="auto"/>
              <w:rPr>
                <w:rFonts w:asciiTheme="minorHAnsi" w:hAnsiTheme="minorHAnsi" w:cstheme="minorHAnsi"/>
                <w:b/>
                <w:color w:val="B11636"/>
                <w:sz w:val="20"/>
              </w:rPr>
            </w:pPr>
          </w:p>
        </w:tc>
      </w:tr>
    </w:tbl>
    <w:p w14:paraId="1BAFC03D" w14:textId="77777777" w:rsidR="00212170" w:rsidRPr="00212170" w:rsidRDefault="00212170" w:rsidP="00864585">
      <w:pPr>
        <w:rPr>
          <w:rFonts w:asciiTheme="minorHAnsi" w:hAnsiTheme="minorHAnsi" w:cstheme="minorHAnsi"/>
        </w:rPr>
      </w:pPr>
    </w:p>
    <w:sectPr w:rsidR="00212170" w:rsidRPr="00212170" w:rsidSect="004F1916">
      <w:footerReference w:type="default" r:id="rId22"/>
      <w:pgSz w:w="11906" w:h="16838" w:code="9"/>
      <w:pgMar w:top="567"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0E1C" w14:textId="77777777" w:rsidR="00212170" w:rsidRDefault="00212170">
      <w:pPr>
        <w:spacing w:after="0" w:line="240" w:lineRule="auto"/>
      </w:pPr>
      <w:r>
        <w:separator/>
      </w:r>
    </w:p>
  </w:endnote>
  <w:endnote w:type="continuationSeparator" w:id="0">
    <w:p w14:paraId="221EF900" w14:textId="77777777" w:rsidR="00212170" w:rsidRDefault="0021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5CDB" w14:textId="77777777" w:rsidR="00212170" w:rsidRDefault="00212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5ECC" w14:textId="77777777" w:rsidR="00212170" w:rsidRPr="001C0278" w:rsidRDefault="00212170" w:rsidP="00A02DEA">
    <w:pPr>
      <w:pStyle w:val="Footer"/>
      <w:tabs>
        <w:tab w:val="clear" w:pos="4513"/>
        <w:tab w:val="clear" w:pos="9026"/>
        <w:tab w:val="center" w:pos="5103"/>
        <w:tab w:val="right" w:pos="10772"/>
      </w:tabs>
      <w:rPr>
        <w:rFonts w:ascii="Arial" w:hAnsi="Arial" w:cs="Arial"/>
        <w:sz w:val="18"/>
        <w:szCs w:val="18"/>
      </w:rPr>
    </w:pPr>
    <w:r w:rsidRPr="001C0278">
      <w:rPr>
        <w:rFonts w:ascii="Arial" w:hAnsi="Arial" w:cs="Arial"/>
        <w:sz w:val="18"/>
        <w:szCs w:val="18"/>
      </w:rPr>
      <w:t>Public Health (Humanitarian Health)</w:t>
    </w:r>
    <w:r w:rsidRPr="001C0278">
      <w:rPr>
        <w:rFonts w:ascii="Arial" w:hAnsi="Arial" w:cs="Arial"/>
        <w:sz w:val="18"/>
        <w:szCs w:val="18"/>
      </w:rPr>
      <w:tab/>
    </w:r>
    <w:r w:rsidRPr="001C0278">
      <w:rPr>
        <w:rFonts w:ascii="Arial" w:hAnsi="Arial" w:cs="Arial"/>
        <w:sz w:val="18"/>
        <w:szCs w:val="18"/>
      </w:rPr>
      <w:tab/>
      <w:t xml:space="preserve">Page </w:t>
    </w:r>
    <w:r w:rsidRPr="001C0278">
      <w:rPr>
        <w:rFonts w:ascii="Arial" w:hAnsi="Arial" w:cs="Arial"/>
        <w:sz w:val="18"/>
        <w:szCs w:val="18"/>
      </w:rPr>
      <w:fldChar w:fldCharType="begin"/>
    </w:r>
    <w:r w:rsidRPr="001C0278">
      <w:rPr>
        <w:rFonts w:ascii="Arial" w:hAnsi="Arial" w:cs="Arial"/>
        <w:sz w:val="18"/>
        <w:szCs w:val="18"/>
      </w:rPr>
      <w:instrText xml:space="preserve"> PAGE   \* MERGEFORMAT </w:instrText>
    </w:r>
    <w:r w:rsidRPr="001C0278">
      <w:rPr>
        <w:rFonts w:ascii="Arial" w:hAnsi="Arial" w:cs="Arial"/>
        <w:sz w:val="18"/>
        <w:szCs w:val="18"/>
      </w:rPr>
      <w:fldChar w:fldCharType="separate"/>
    </w:r>
    <w:r>
      <w:rPr>
        <w:rFonts w:ascii="Arial" w:hAnsi="Arial" w:cs="Arial"/>
        <w:noProof/>
        <w:sz w:val="18"/>
        <w:szCs w:val="18"/>
      </w:rPr>
      <w:t>1</w:t>
    </w:r>
    <w:r w:rsidRPr="001C0278">
      <w:rPr>
        <w:rFonts w:ascii="Arial" w:hAnsi="Arial" w:cs="Arial"/>
        <w:sz w:val="18"/>
        <w:szCs w:val="18"/>
      </w:rPr>
      <w:fldChar w:fldCharType="end"/>
    </w:r>
    <w:r w:rsidRPr="001C0278">
      <w:rPr>
        <w:rFonts w:ascii="Arial" w:hAnsi="Arial" w:cs="Arial"/>
        <w:sz w:val="18"/>
        <w:szCs w:val="18"/>
      </w:rPr>
      <w:t xml:space="preserve"> of </w:t>
    </w:r>
    <w:r w:rsidRPr="001C0278">
      <w:rPr>
        <w:rFonts w:ascii="Arial" w:hAnsi="Arial" w:cs="Arial"/>
        <w:sz w:val="18"/>
        <w:szCs w:val="18"/>
      </w:rPr>
      <w:fldChar w:fldCharType="begin"/>
    </w:r>
    <w:r w:rsidRPr="001C0278">
      <w:rPr>
        <w:rFonts w:ascii="Arial" w:hAnsi="Arial" w:cs="Arial"/>
        <w:sz w:val="18"/>
        <w:szCs w:val="18"/>
      </w:rPr>
      <w:instrText xml:space="preserve"> NUMPAGES   \* MERGEFORMAT </w:instrText>
    </w:r>
    <w:r w:rsidRPr="001C0278">
      <w:rPr>
        <w:rFonts w:ascii="Arial" w:hAnsi="Arial" w:cs="Arial"/>
        <w:sz w:val="18"/>
        <w:szCs w:val="18"/>
      </w:rPr>
      <w:fldChar w:fldCharType="separate"/>
    </w:r>
    <w:r>
      <w:rPr>
        <w:rFonts w:ascii="Arial" w:hAnsi="Arial" w:cs="Arial"/>
        <w:noProof/>
        <w:sz w:val="18"/>
        <w:szCs w:val="18"/>
      </w:rPr>
      <w:t>20</w:t>
    </w:r>
    <w:r w:rsidRPr="001C0278">
      <w:rPr>
        <w:rFonts w:ascii="Arial" w:hAnsi="Arial" w:cs="Arial"/>
        <w:sz w:val="18"/>
        <w:szCs w:val="18"/>
      </w:rPr>
      <w:fldChar w:fldCharType="end"/>
    </w:r>
    <w:r w:rsidRPr="001C0278">
      <w:rPr>
        <w:rFonts w:ascii="Arial" w:hAnsi="Arial" w:cs="Arial"/>
        <w:sz w:val="18"/>
        <w:szCs w:val="18"/>
      </w:rPr>
      <w:tab/>
    </w:r>
  </w:p>
  <w:p w14:paraId="313985BC" w14:textId="77777777" w:rsidR="00212170" w:rsidRDefault="00212170" w:rsidP="00FC083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19F0" w14:textId="77777777" w:rsidR="00212170" w:rsidRDefault="002121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0D99" w14:textId="77777777" w:rsidR="00212170" w:rsidRPr="00E94FFA" w:rsidRDefault="00212170" w:rsidP="00E94FFA">
    <w:pPr>
      <w:pStyle w:val="Footer"/>
      <w:tabs>
        <w:tab w:val="clear" w:pos="4513"/>
        <w:tab w:val="clear" w:pos="9026"/>
        <w:tab w:val="center" w:pos="5103"/>
        <w:tab w:val="right" w:pos="10772"/>
      </w:tabs>
      <w:rPr>
        <w:rFonts w:ascii="Arial" w:hAnsi="Arial" w:cs="Arial"/>
        <w:sz w:val="18"/>
        <w:szCs w:val="18"/>
      </w:rPr>
    </w:pPr>
    <w:r w:rsidRPr="001C0278">
      <w:rPr>
        <w:rFonts w:ascii="Arial" w:hAnsi="Arial" w:cs="Arial"/>
        <w:sz w:val="18"/>
        <w:szCs w:val="18"/>
      </w:rPr>
      <w:t>Public Health (Humanitarian Health)</w:t>
    </w:r>
    <w:r w:rsidRPr="001C0278">
      <w:rPr>
        <w:rFonts w:ascii="Arial" w:hAnsi="Arial" w:cs="Arial"/>
        <w:sz w:val="18"/>
        <w:szCs w:val="18"/>
      </w:rPr>
      <w:tab/>
    </w:r>
    <w:r w:rsidRPr="001C0278">
      <w:rPr>
        <w:rFonts w:ascii="Arial" w:hAnsi="Arial" w:cs="Arial"/>
        <w:sz w:val="18"/>
        <w:szCs w:val="18"/>
      </w:rPr>
      <w:tab/>
      <w:t xml:space="preserve">Page </w:t>
    </w:r>
    <w:r w:rsidRPr="001C0278">
      <w:rPr>
        <w:rFonts w:ascii="Arial" w:hAnsi="Arial" w:cs="Arial"/>
        <w:sz w:val="18"/>
        <w:szCs w:val="18"/>
      </w:rPr>
      <w:fldChar w:fldCharType="begin"/>
    </w:r>
    <w:r w:rsidRPr="001C0278">
      <w:rPr>
        <w:rFonts w:ascii="Arial" w:hAnsi="Arial" w:cs="Arial"/>
        <w:sz w:val="18"/>
        <w:szCs w:val="18"/>
      </w:rPr>
      <w:instrText xml:space="preserve"> PAGE   \* MERGEFORMAT </w:instrText>
    </w:r>
    <w:r w:rsidRPr="001C0278">
      <w:rPr>
        <w:rFonts w:ascii="Arial" w:hAnsi="Arial" w:cs="Arial"/>
        <w:sz w:val="18"/>
        <w:szCs w:val="18"/>
      </w:rPr>
      <w:fldChar w:fldCharType="separate"/>
    </w:r>
    <w:r>
      <w:rPr>
        <w:rFonts w:ascii="Arial" w:hAnsi="Arial" w:cs="Arial"/>
        <w:noProof/>
        <w:sz w:val="18"/>
        <w:szCs w:val="18"/>
      </w:rPr>
      <w:t>20</w:t>
    </w:r>
    <w:r w:rsidRPr="001C0278">
      <w:rPr>
        <w:rFonts w:ascii="Arial" w:hAnsi="Arial" w:cs="Arial"/>
        <w:sz w:val="18"/>
        <w:szCs w:val="18"/>
      </w:rPr>
      <w:fldChar w:fldCharType="end"/>
    </w:r>
    <w:r w:rsidRPr="001C0278">
      <w:rPr>
        <w:rFonts w:ascii="Arial" w:hAnsi="Arial" w:cs="Arial"/>
        <w:sz w:val="18"/>
        <w:szCs w:val="18"/>
      </w:rPr>
      <w:t xml:space="preserve"> of </w:t>
    </w:r>
    <w:r w:rsidRPr="001C0278">
      <w:rPr>
        <w:rFonts w:ascii="Arial" w:hAnsi="Arial" w:cs="Arial"/>
        <w:sz w:val="18"/>
        <w:szCs w:val="18"/>
      </w:rPr>
      <w:fldChar w:fldCharType="begin"/>
    </w:r>
    <w:r w:rsidRPr="001C0278">
      <w:rPr>
        <w:rFonts w:ascii="Arial" w:hAnsi="Arial" w:cs="Arial"/>
        <w:sz w:val="18"/>
        <w:szCs w:val="18"/>
      </w:rPr>
      <w:instrText xml:space="preserve"> NUMPAGES   \* MERGEFORMAT </w:instrText>
    </w:r>
    <w:r w:rsidRPr="001C0278">
      <w:rPr>
        <w:rFonts w:ascii="Arial" w:hAnsi="Arial" w:cs="Arial"/>
        <w:sz w:val="18"/>
        <w:szCs w:val="18"/>
      </w:rPr>
      <w:fldChar w:fldCharType="separate"/>
    </w:r>
    <w:r>
      <w:rPr>
        <w:rFonts w:ascii="Arial" w:hAnsi="Arial" w:cs="Arial"/>
        <w:noProof/>
        <w:sz w:val="18"/>
        <w:szCs w:val="18"/>
      </w:rPr>
      <w:t>20</w:t>
    </w:r>
    <w:r w:rsidRPr="001C0278">
      <w:rPr>
        <w:rFonts w:ascii="Arial" w:hAnsi="Arial" w:cs="Arial"/>
        <w:sz w:val="18"/>
        <w:szCs w:val="18"/>
      </w:rPr>
      <w:fldChar w:fldCharType="end"/>
    </w:r>
    <w:r w:rsidRPr="001C0278">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B0C1" w14:textId="77777777" w:rsidR="00212170" w:rsidRDefault="00212170">
      <w:pPr>
        <w:spacing w:after="0" w:line="240" w:lineRule="auto"/>
      </w:pPr>
      <w:r>
        <w:separator/>
      </w:r>
    </w:p>
  </w:footnote>
  <w:footnote w:type="continuationSeparator" w:id="0">
    <w:p w14:paraId="0E7A129F" w14:textId="77777777" w:rsidR="00212170" w:rsidRDefault="00212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B8DE" w14:textId="77777777" w:rsidR="00212170" w:rsidRDefault="00212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F676" w14:textId="63569A22" w:rsidR="00212170" w:rsidRPr="00864CCA" w:rsidRDefault="00212170" w:rsidP="00B6392D">
    <w:pPr>
      <w:autoSpaceDE w:val="0"/>
      <w:autoSpaceDN w:val="0"/>
      <w:adjustRightInd w:val="0"/>
      <w:spacing w:after="0" w:line="240" w:lineRule="auto"/>
      <w:rPr>
        <w:rFonts w:ascii="Arial" w:hAnsi="Arial" w:cs="MyriadPro-Bold"/>
        <w:b/>
        <w:bCs/>
        <w:color w:val="333333"/>
        <w:sz w:val="44"/>
        <w:szCs w:val="44"/>
      </w:rPr>
    </w:pPr>
    <w:r>
      <w:rPr>
        <w:noProof/>
        <w:lang w:val="en-US"/>
      </w:rPr>
      <w:drawing>
        <wp:anchor distT="0" distB="0" distL="114300" distR="114300" simplePos="0" relativeHeight="251658240" behindDoc="0" locked="0" layoutInCell="1" allowOverlap="1" wp14:anchorId="10DEA94D" wp14:editId="75425E64">
          <wp:simplePos x="0" y="0"/>
          <wp:positionH relativeFrom="column">
            <wp:posOffset>5682615</wp:posOffset>
          </wp:positionH>
          <wp:positionV relativeFrom="paragraph">
            <wp:posOffset>-441960</wp:posOffset>
          </wp:positionV>
          <wp:extent cx="1302385" cy="1003300"/>
          <wp:effectExtent l="0" t="0" r="0" b="0"/>
          <wp:wrapNone/>
          <wp:docPr id="1025"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1003300"/>
                  </a:xfrm>
                  <a:prstGeom prst="rect">
                    <a:avLst/>
                  </a:prstGeom>
                  <a:noFill/>
                </pic:spPr>
              </pic:pic>
            </a:graphicData>
          </a:graphic>
          <wp14:sizeRelH relativeFrom="page">
            <wp14:pctWidth>0</wp14:pctWidth>
          </wp14:sizeRelH>
          <wp14:sizeRelV relativeFrom="page">
            <wp14:pctHeight>0</wp14:pctHeight>
          </wp14:sizeRelV>
        </wp:anchor>
      </w:drawing>
    </w:r>
    <w:r w:rsidRPr="00864CCA">
      <w:rPr>
        <w:rFonts w:ascii="Arial" w:hAnsi="Arial" w:cs="MyriadPro-Bold"/>
        <w:b/>
        <w:bCs/>
        <w:color w:val="333333"/>
        <w:sz w:val="44"/>
        <w:szCs w:val="44"/>
      </w:rPr>
      <w:t>Programme Specification</w:t>
    </w:r>
  </w:p>
  <w:p w14:paraId="3D7CF7A4" w14:textId="099FC8C5" w:rsidR="00212170" w:rsidRPr="00864CCA" w:rsidRDefault="00212170" w:rsidP="00FA4075">
    <w:pPr>
      <w:rPr>
        <w:rFonts w:ascii="Arial" w:hAnsi="Arial"/>
        <w:color w:val="B11636"/>
      </w:rPr>
    </w:pPr>
    <w:r>
      <w:rPr>
        <w:noProof/>
        <w:lang w:val="en-US"/>
      </w:rPr>
      <mc:AlternateContent>
        <mc:Choice Requires="wps">
          <w:drawing>
            <wp:anchor distT="0" distB="0" distL="114300" distR="114300" simplePos="0" relativeHeight="251659264" behindDoc="0" locked="0" layoutInCell="1" allowOverlap="1" wp14:anchorId="4911A5D2" wp14:editId="0E2C25D5">
              <wp:simplePos x="0" y="0"/>
              <wp:positionH relativeFrom="column">
                <wp:posOffset>-389255</wp:posOffset>
              </wp:positionH>
              <wp:positionV relativeFrom="paragraph">
                <wp:posOffset>277495</wp:posOffset>
              </wp:positionV>
              <wp:extent cx="7614920" cy="0"/>
              <wp:effectExtent l="39370" t="39370" r="32385" b="36830"/>
              <wp:wrapNone/>
              <wp:docPr id="142308736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4920" cy="0"/>
                      </a:xfrm>
                      <a:prstGeom prst="line">
                        <a:avLst/>
                      </a:prstGeom>
                      <a:noFill/>
                      <a:ln w="63500">
                        <a:solidFill>
                          <a:srgbClr val="DC002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750EB9"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0.65pt,21.85pt" to="568.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" strokecolor="#dc002e" strokeweight="5pt"/>
          </w:pict>
        </mc:Fallback>
      </mc:AlternateContent>
    </w:r>
    <w:r>
      <w:rPr>
        <w:rFonts w:ascii="Arial" w:hAnsi="Arial" w:cs="Arial"/>
        <w:b/>
        <w:color w:val="B11636"/>
        <w:sz w:val="20"/>
      </w:rPr>
      <w:t>20</w:t>
    </w:r>
    <w:r w:rsidRPr="00395BC2">
      <w:rPr>
        <w:rFonts w:ascii="Arial" w:hAnsi="Arial" w:cs="Arial"/>
        <w:b/>
        <w:color w:val="B11636"/>
        <w:sz w:val="20"/>
      </w:rPr>
      <w:t>23/24</w:t>
    </w:r>
  </w:p>
  <w:p w14:paraId="7E352245" w14:textId="77777777" w:rsidR="00212170" w:rsidRDefault="00212170" w:rsidP="00FA4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1F7D" w14:textId="77777777" w:rsidR="00212170" w:rsidRDefault="002121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2482" w14:textId="77777777" w:rsidR="00212170" w:rsidRDefault="00212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A4E7EB6">
      <w:start w:val="1"/>
      <w:numFmt w:val="bullet"/>
      <w:lvlText w:val=""/>
      <w:lvlJc w:val="left"/>
      <w:pPr>
        <w:ind w:left="720" w:hanging="360"/>
      </w:pPr>
      <w:rPr>
        <w:rFonts w:ascii="Symbol" w:hAnsi="Symbol"/>
      </w:rPr>
    </w:lvl>
    <w:lvl w:ilvl="1" w:tplc="8BA26078">
      <w:start w:val="1"/>
      <w:numFmt w:val="bullet"/>
      <w:lvlText w:val="o"/>
      <w:lvlJc w:val="left"/>
      <w:pPr>
        <w:tabs>
          <w:tab w:val="num" w:pos="1440"/>
        </w:tabs>
        <w:ind w:left="1440" w:hanging="360"/>
      </w:pPr>
      <w:rPr>
        <w:rFonts w:ascii="Courier New" w:hAnsi="Courier New"/>
      </w:rPr>
    </w:lvl>
    <w:lvl w:ilvl="2" w:tplc="4EF8CF68">
      <w:start w:val="1"/>
      <w:numFmt w:val="bullet"/>
      <w:lvlText w:val=""/>
      <w:lvlJc w:val="left"/>
      <w:pPr>
        <w:tabs>
          <w:tab w:val="num" w:pos="2160"/>
        </w:tabs>
        <w:ind w:left="2160" w:hanging="360"/>
      </w:pPr>
      <w:rPr>
        <w:rFonts w:ascii="Wingdings" w:hAnsi="Wingdings"/>
      </w:rPr>
    </w:lvl>
    <w:lvl w:ilvl="3" w:tplc="6D4EC006">
      <w:start w:val="1"/>
      <w:numFmt w:val="bullet"/>
      <w:lvlText w:val=""/>
      <w:lvlJc w:val="left"/>
      <w:pPr>
        <w:tabs>
          <w:tab w:val="num" w:pos="2880"/>
        </w:tabs>
        <w:ind w:left="2880" w:hanging="360"/>
      </w:pPr>
      <w:rPr>
        <w:rFonts w:ascii="Symbol" w:hAnsi="Symbol"/>
      </w:rPr>
    </w:lvl>
    <w:lvl w:ilvl="4" w:tplc="2E26AE9E">
      <w:start w:val="1"/>
      <w:numFmt w:val="bullet"/>
      <w:lvlText w:val="o"/>
      <w:lvlJc w:val="left"/>
      <w:pPr>
        <w:tabs>
          <w:tab w:val="num" w:pos="3600"/>
        </w:tabs>
        <w:ind w:left="3600" w:hanging="360"/>
      </w:pPr>
      <w:rPr>
        <w:rFonts w:ascii="Courier New" w:hAnsi="Courier New"/>
      </w:rPr>
    </w:lvl>
    <w:lvl w:ilvl="5" w:tplc="856E6554">
      <w:start w:val="1"/>
      <w:numFmt w:val="bullet"/>
      <w:lvlText w:val=""/>
      <w:lvlJc w:val="left"/>
      <w:pPr>
        <w:tabs>
          <w:tab w:val="num" w:pos="4320"/>
        </w:tabs>
        <w:ind w:left="4320" w:hanging="360"/>
      </w:pPr>
      <w:rPr>
        <w:rFonts w:ascii="Wingdings" w:hAnsi="Wingdings"/>
      </w:rPr>
    </w:lvl>
    <w:lvl w:ilvl="6" w:tplc="9C7498A0">
      <w:start w:val="1"/>
      <w:numFmt w:val="bullet"/>
      <w:lvlText w:val=""/>
      <w:lvlJc w:val="left"/>
      <w:pPr>
        <w:tabs>
          <w:tab w:val="num" w:pos="5040"/>
        </w:tabs>
        <w:ind w:left="5040" w:hanging="360"/>
      </w:pPr>
      <w:rPr>
        <w:rFonts w:ascii="Symbol" w:hAnsi="Symbol"/>
      </w:rPr>
    </w:lvl>
    <w:lvl w:ilvl="7" w:tplc="E1E6AFB8">
      <w:start w:val="1"/>
      <w:numFmt w:val="bullet"/>
      <w:lvlText w:val="o"/>
      <w:lvlJc w:val="left"/>
      <w:pPr>
        <w:tabs>
          <w:tab w:val="num" w:pos="5760"/>
        </w:tabs>
        <w:ind w:left="5760" w:hanging="360"/>
      </w:pPr>
      <w:rPr>
        <w:rFonts w:ascii="Courier New" w:hAnsi="Courier New"/>
      </w:rPr>
    </w:lvl>
    <w:lvl w:ilvl="8" w:tplc="D18ED786">
      <w:start w:val="1"/>
      <w:numFmt w:val="bullet"/>
      <w:lvlText w:val=""/>
      <w:lvlJc w:val="left"/>
      <w:pPr>
        <w:tabs>
          <w:tab w:val="num" w:pos="6480"/>
        </w:tabs>
        <w:ind w:left="6480" w:hanging="360"/>
      </w:pPr>
      <w:rPr>
        <w:rFonts w:ascii="Wingdings" w:hAnsi="Wingdings"/>
      </w:rPr>
    </w:lvl>
  </w:abstractNum>
  <w:abstractNum w:abstractNumId="1" w15:restartNumberingAfterBreak="0">
    <w:nsid w:val="01DD3ADF"/>
    <w:multiLevelType w:val="hybridMultilevel"/>
    <w:tmpl w:val="686E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70B2C"/>
    <w:multiLevelType w:val="hybridMultilevel"/>
    <w:tmpl w:val="FFC0EE9A"/>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42249"/>
    <w:multiLevelType w:val="hybridMultilevel"/>
    <w:tmpl w:val="821017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A20D8"/>
    <w:multiLevelType w:val="hybridMultilevel"/>
    <w:tmpl w:val="6F3A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B7C8E"/>
    <w:multiLevelType w:val="hybridMultilevel"/>
    <w:tmpl w:val="A70642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5E3A87"/>
    <w:multiLevelType w:val="hybridMultilevel"/>
    <w:tmpl w:val="EC726946"/>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D4813"/>
    <w:multiLevelType w:val="hybridMultilevel"/>
    <w:tmpl w:val="8898CE0E"/>
    <w:lvl w:ilvl="0" w:tplc="39108638">
      <w:start w:val="3"/>
      <w:numFmt w:val="bullet"/>
      <w:lvlText w:val="·"/>
      <w:lvlJc w:val="left"/>
      <w:pPr>
        <w:ind w:left="720" w:hanging="360"/>
      </w:pPr>
      <w:rPr>
        <w:rFonts w:ascii="Calibri" w:eastAsia="Symbol"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2A7FB8"/>
    <w:multiLevelType w:val="hybridMultilevel"/>
    <w:tmpl w:val="FB4C5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33320"/>
    <w:multiLevelType w:val="hybridMultilevel"/>
    <w:tmpl w:val="ED0A41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D03A1B"/>
    <w:multiLevelType w:val="hybridMultilevel"/>
    <w:tmpl w:val="BC5EF6AE"/>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62DBD"/>
    <w:multiLevelType w:val="hybridMultilevel"/>
    <w:tmpl w:val="C40A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83921"/>
    <w:multiLevelType w:val="hybridMultilevel"/>
    <w:tmpl w:val="B452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A4C1C"/>
    <w:multiLevelType w:val="hybridMultilevel"/>
    <w:tmpl w:val="1D4EB8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4296E"/>
    <w:multiLevelType w:val="hybridMultilevel"/>
    <w:tmpl w:val="8AF41F1E"/>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66C83"/>
    <w:multiLevelType w:val="hybridMultilevel"/>
    <w:tmpl w:val="8C9A7DAA"/>
    <w:lvl w:ilvl="0" w:tplc="39108638">
      <w:start w:val="3"/>
      <w:numFmt w:val="bullet"/>
      <w:lvlText w:val="·"/>
      <w:lvlJc w:val="left"/>
      <w:pPr>
        <w:ind w:left="720"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854D6"/>
    <w:multiLevelType w:val="hybridMultilevel"/>
    <w:tmpl w:val="4CC82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21734"/>
    <w:multiLevelType w:val="hybridMultilevel"/>
    <w:tmpl w:val="E002687C"/>
    <w:lvl w:ilvl="0" w:tplc="F33C006E">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4127264">
    <w:abstractNumId w:val="0"/>
  </w:num>
  <w:num w:numId="2" w16cid:durableId="111367430">
    <w:abstractNumId w:val="1"/>
  </w:num>
  <w:num w:numId="3" w16cid:durableId="1817212465">
    <w:abstractNumId w:val="2"/>
  </w:num>
  <w:num w:numId="4" w16cid:durableId="562983986">
    <w:abstractNumId w:val="9"/>
  </w:num>
  <w:num w:numId="5" w16cid:durableId="856113686">
    <w:abstractNumId w:val="4"/>
  </w:num>
  <w:num w:numId="6" w16cid:durableId="367341435">
    <w:abstractNumId w:val="13"/>
  </w:num>
  <w:num w:numId="7" w16cid:durableId="547910821">
    <w:abstractNumId w:val="8"/>
  </w:num>
  <w:num w:numId="8" w16cid:durableId="122702265">
    <w:abstractNumId w:val="16"/>
  </w:num>
  <w:num w:numId="9" w16cid:durableId="236287652">
    <w:abstractNumId w:val="11"/>
  </w:num>
  <w:num w:numId="10" w16cid:durableId="2005625834">
    <w:abstractNumId w:val="15"/>
  </w:num>
  <w:num w:numId="11" w16cid:durableId="649527730">
    <w:abstractNumId w:val="10"/>
  </w:num>
  <w:num w:numId="12" w16cid:durableId="1747536598">
    <w:abstractNumId w:val="14"/>
  </w:num>
  <w:num w:numId="13" w16cid:durableId="1036199149">
    <w:abstractNumId w:val="7"/>
  </w:num>
  <w:num w:numId="14" w16cid:durableId="768936578">
    <w:abstractNumId w:val="5"/>
  </w:num>
  <w:num w:numId="15" w16cid:durableId="1302805751">
    <w:abstractNumId w:val="3"/>
  </w:num>
  <w:num w:numId="16" w16cid:durableId="1294289547">
    <w:abstractNumId w:val="17"/>
  </w:num>
  <w:num w:numId="17" w16cid:durableId="33503430">
    <w:abstractNumId w:val="12"/>
  </w:num>
  <w:num w:numId="18" w16cid:durableId="6926140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12"/>
    <w:rsid w:val="000F6A45"/>
    <w:rsid w:val="00212170"/>
    <w:rsid w:val="0061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EC99D40"/>
  <w15:docId w15:val="{CF5CD0BD-6A17-4C89-90F9-0C48C5CB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21217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92D"/>
  </w:style>
  <w:style w:type="paragraph" w:styleId="Footer">
    <w:name w:val="footer"/>
    <w:basedOn w:val="Normal"/>
    <w:link w:val="FooterChar"/>
    <w:uiPriority w:val="99"/>
    <w:unhideWhenUsed/>
    <w:rsid w:val="00B6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92D"/>
  </w:style>
  <w:style w:type="paragraph" w:styleId="BalloonText">
    <w:name w:val="Balloon Text"/>
    <w:basedOn w:val="Normal"/>
    <w:link w:val="BalloonTextChar"/>
    <w:uiPriority w:val="99"/>
    <w:semiHidden/>
    <w:unhideWhenUsed/>
    <w:rsid w:val="00B639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392D"/>
    <w:rPr>
      <w:rFonts w:ascii="Tahoma" w:hAnsi="Tahoma" w:cs="Tahoma"/>
      <w:sz w:val="16"/>
      <w:szCs w:val="16"/>
    </w:rPr>
  </w:style>
  <w:style w:type="paragraph" w:customStyle="1" w:styleId="ColourfulListAccent11">
    <w:name w:val="Colourful List – Accent 11"/>
    <w:basedOn w:val="Normal"/>
    <w:uiPriority w:val="34"/>
    <w:qFormat/>
    <w:rsid w:val="00A446C9"/>
    <w:pPr>
      <w:ind w:left="720"/>
      <w:contextualSpacing/>
    </w:pPr>
  </w:style>
  <w:style w:type="character" w:customStyle="1" w:styleId="Heading2Char">
    <w:name w:val="Heading 2 Char"/>
    <w:basedOn w:val="DefaultParagraphFont"/>
    <w:link w:val="Heading2"/>
    <w:uiPriority w:val="9"/>
    <w:rsid w:val="00212170"/>
    <w:rPr>
      <w:rFonts w:asciiTheme="majorHAnsi" w:eastAsiaTheme="majorEastAsia" w:hAnsiTheme="majorHAnsi" w:cstheme="majorBidi"/>
      <w:b/>
      <w:bCs/>
      <w:i/>
      <w:iCs/>
      <w:sz w:val="28"/>
      <w:szCs w:val="28"/>
      <w:lang w:val="en-GB"/>
    </w:rPr>
  </w:style>
  <w:style w:type="character" w:customStyle="1" w:styleId="cf01">
    <w:name w:val="cf01"/>
    <w:basedOn w:val="DefaultParagraphFont"/>
    <w:rsid w:val="000F6A45"/>
    <w:rPr>
      <w:rFonts w:ascii="Segoe UI" w:hAnsi="Segoe UI" w:cs="Segoe UI" w:hint="default"/>
      <w:color w:val="34343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lstmed.ac.uk/study/quality-manua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liv.ac.uk/media/livacuk/tqsd/code-of-practice-on-assessment/appendix_H_cop_asses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76B95E7F88C4448CF888F54F94AFC9" ma:contentTypeVersion="6" ma:contentTypeDescription="Create a new document." ma:contentTypeScope="" ma:versionID="0b88f4447abf7abe2c3dab0ef9a7b561">
  <xsd:schema xmlns:xsd="http://www.w3.org/2001/XMLSchema" xmlns:xs="http://www.w3.org/2001/XMLSchema" xmlns:p="http://schemas.microsoft.com/office/2006/metadata/properties" xmlns:ns2="ef871a64-4640-4b68-89e0-a50e2994eaaf" xmlns:ns3="c22bdfad-8a8e-482f-8ff6-bdb0989e8869" targetNamespace="http://schemas.microsoft.com/office/2006/metadata/properties" ma:root="true" ma:fieldsID="33c91566b61ee8a95fa1cbef6727ceb0" ns2:_="" ns3:_="">
    <xsd:import namespace="ef871a64-4640-4b68-89e0-a50e2994eaaf"/>
    <xsd:import namespace="c22bdfad-8a8e-482f-8ff6-bdb0989e8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71a64-4640-4b68-89e0-a50e2994e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2bdfad-8a8e-482f-8ff6-bdb0989e88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A3EA2-0C35-4BDA-AF4D-80DCAA1E8578}">
  <ds:schemaRefs>
    <ds:schemaRef ds:uri="http://schemas.openxmlformats.org/officeDocument/2006/bibliography"/>
  </ds:schemaRefs>
</ds:datastoreItem>
</file>

<file path=customXml/itemProps2.xml><?xml version="1.0" encoding="utf-8"?>
<ds:datastoreItem xmlns:ds="http://schemas.openxmlformats.org/officeDocument/2006/customXml" ds:itemID="{F3F65FF3-DB04-449B-9309-6BE47FC329C2}"/>
</file>

<file path=customXml/itemProps3.xml><?xml version="1.0" encoding="utf-8"?>
<ds:datastoreItem xmlns:ds="http://schemas.openxmlformats.org/officeDocument/2006/customXml" ds:itemID="{F8F30A2B-F659-4ECE-83AA-B75BC850352E}"/>
</file>

<file path=customXml/itemProps4.xml><?xml version="1.0" encoding="utf-8"?>
<ds:datastoreItem xmlns:ds="http://schemas.openxmlformats.org/officeDocument/2006/customXml" ds:itemID="{8FDAF6EE-50FC-41CA-B6B3-B40D50EF65AE}"/>
</file>

<file path=docProps/app.xml><?xml version="1.0" encoding="utf-8"?>
<Properties xmlns="http://schemas.openxmlformats.org/officeDocument/2006/extended-properties" xmlns:vt="http://schemas.openxmlformats.org/officeDocument/2006/docPropsVTypes">
  <Template>Normal</Template>
  <TotalTime>7</TotalTime>
  <Pages>17</Pages>
  <Words>5126</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dc:creator>
  <cp:lastModifiedBy>Joanna Fisher</cp:lastModifiedBy>
  <cp:revision>3</cp:revision>
  <cp:lastPrinted>2015-05-08T11:24:00Z</cp:lastPrinted>
  <dcterms:created xsi:type="dcterms:W3CDTF">2023-10-16T15:58:00Z</dcterms:created>
  <dcterms:modified xsi:type="dcterms:W3CDTF">2024-03-26T12:45:00Z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0x0101007976B95E7F88C4448CF888F54F94AFC9</vt:lpwstr>
  </property>
</Properties>
</file>